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D9" w:rsidRPr="00D87441" w:rsidRDefault="004508D9" w:rsidP="005A07A0">
      <w:pPr>
        <w:jc w:val="both"/>
        <w:rPr>
          <w:b/>
          <w:smallCaps/>
          <w:color w:val="17365D" w:themeColor="text2" w:themeShade="BF"/>
          <w:sz w:val="28"/>
          <w:szCs w:val="28"/>
          <w:lang w:val="en-GB"/>
        </w:rPr>
      </w:pPr>
      <w:r w:rsidRPr="00D87441">
        <w:rPr>
          <w:b/>
          <w:noProof/>
          <w:sz w:val="24"/>
          <w:szCs w:val="24"/>
          <w:lang w:bidi="pa-IN"/>
        </w:rPr>
        <w:drawing>
          <wp:anchor distT="0" distB="0" distL="114300" distR="114300" simplePos="0" relativeHeight="251660288" behindDoc="1" locked="0" layoutInCell="1" allowOverlap="1">
            <wp:simplePos x="0" y="0"/>
            <wp:positionH relativeFrom="column">
              <wp:posOffset>4615815</wp:posOffset>
            </wp:positionH>
            <wp:positionV relativeFrom="paragraph">
              <wp:posOffset>-213995</wp:posOffset>
            </wp:positionV>
            <wp:extent cx="923925" cy="752475"/>
            <wp:effectExtent l="19050" t="0" r="0" b="0"/>
            <wp:wrapTight wrapText="bothSides">
              <wp:wrapPolygon edited="0">
                <wp:start x="-447" y="0"/>
                <wp:lineTo x="-447" y="21327"/>
                <wp:lineTo x="21451" y="21327"/>
                <wp:lineTo x="21451" y="0"/>
                <wp:lineTo x="-447" y="0"/>
              </wp:wrapPolygon>
            </wp:wrapTight>
            <wp:docPr id="7" name="6 Imagen" descr="FP7-g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7-gen-RGB.jpg"/>
                    <pic:cNvPicPr/>
                  </pic:nvPicPr>
                  <pic:blipFill>
                    <a:blip r:embed="rId8" cstate="print"/>
                    <a:stretch>
                      <a:fillRect/>
                    </a:stretch>
                  </pic:blipFill>
                  <pic:spPr>
                    <a:xfrm>
                      <a:off x="0" y="0"/>
                      <a:ext cx="920750" cy="752475"/>
                    </a:xfrm>
                    <a:prstGeom prst="rect">
                      <a:avLst/>
                    </a:prstGeom>
                  </pic:spPr>
                </pic:pic>
              </a:graphicData>
            </a:graphic>
          </wp:anchor>
        </w:drawing>
      </w:r>
      <w:r w:rsidRPr="00D87441">
        <w:rPr>
          <w:b/>
          <w:noProof/>
          <w:sz w:val="24"/>
          <w:szCs w:val="24"/>
          <w:lang w:bidi="pa-IN"/>
        </w:rPr>
        <w:drawing>
          <wp:anchor distT="0" distB="0" distL="114300" distR="114300" simplePos="0" relativeHeight="251659264" behindDoc="1" locked="0" layoutInCell="1" allowOverlap="1">
            <wp:simplePos x="0" y="0"/>
            <wp:positionH relativeFrom="column">
              <wp:posOffset>-451485</wp:posOffset>
            </wp:positionH>
            <wp:positionV relativeFrom="paragraph">
              <wp:posOffset>-280670</wp:posOffset>
            </wp:positionV>
            <wp:extent cx="1514475" cy="819150"/>
            <wp:effectExtent l="19050" t="0" r="9525" b="0"/>
            <wp:wrapTight wrapText="bothSides">
              <wp:wrapPolygon edited="0">
                <wp:start x="-272" y="0"/>
                <wp:lineTo x="-272" y="21098"/>
                <wp:lineTo x="21736" y="21098"/>
                <wp:lineTo x="21736" y="0"/>
                <wp:lineTo x="-272" y="0"/>
              </wp:wrapPolygon>
            </wp:wrapTight>
            <wp:docPr id="1"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1514475" cy="819150"/>
                    </a:xfrm>
                    <a:prstGeom prst="rect">
                      <a:avLst/>
                    </a:prstGeom>
                  </pic:spPr>
                </pic:pic>
              </a:graphicData>
            </a:graphic>
          </wp:anchor>
        </w:drawing>
      </w:r>
      <w:r w:rsidRPr="00D87441">
        <w:rPr>
          <w:b/>
          <w:noProof/>
          <w:sz w:val="24"/>
          <w:szCs w:val="24"/>
          <w:lang w:bidi="pa-IN"/>
        </w:rPr>
        <w:drawing>
          <wp:anchor distT="0" distB="0" distL="114300" distR="114300" simplePos="0" relativeHeight="251662336" behindDoc="1" locked="0" layoutInCell="1" allowOverlap="1">
            <wp:simplePos x="0" y="0"/>
            <wp:positionH relativeFrom="column">
              <wp:posOffset>3187065</wp:posOffset>
            </wp:positionH>
            <wp:positionV relativeFrom="paragraph">
              <wp:posOffset>-252095</wp:posOffset>
            </wp:positionV>
            <wp:extent cx="1095375" cy="742950"/>
            <wp:effectExtent l="19050" t="0" r="9525" b="0"/>
            <wp:wrapTight wrapText="bothSides">
              <wp:wrapPolygon edited="0">
                <wp:start x="-376" y="0"/>
                <wp:lineTo x="-376" y="21046"/>
                <wp:lineTo x="21788" y="21046"/>
                <wp:lineTo x="21788" y="0"/>
                <wp:lineTo x="-376" y="0"/>
              </wp:wrapPolygon>
            </wp:wrapTight>
            <wp:docPr id="5" name="4 Imagen" descr="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jpg"/>
                    <pic:cNvPicPr/>
                  </pic:nvPicPr>
                  <pic:blipFill>
                    <a:blip r:embed="rId10" cstate="print"/>
                    <a:stretch>
                      <a:fillRect/>
                    </a:stretch>
                  </pic:blipFill>
                  <pic:spPr>
                    <a:xfrm>
                      <a:off x="0" y="0"/>
                      <a:ext cx="1095375" cy="742950"/>
                    </a:xfrm>
                    <a:prstGeom prst="rect">
                      <a:avLst/>
                    </a:prstGeom>
                  </pic:spPr>
                </pic:pic>
              </a:graphicData>
            </a:graphic>
          </wp:anchor>
        </w:drawing>
      </w:r>
      <w:r w:rsidRPr="00D87441">
        <w:rPr>
          <w:b/>
          <w:noProof/>
          <w:sz w:val="24"/>
          <w:szCs w:val="24"/>
          <w:lang w:bidi="pa-IN"/>
        </w:rPr>
        <w:drawing>
          <wp:anchor distT="0" distB="0" distL="114300" distR="114300" simplePos="0" relativeHeight="251661312" behindDoc="1" locked="0" layoutInCell="1" allowOverlap="1">
            <wp:simplePos x="0" y="0"/>
            <wp:positionH relativeFrom="column">
              <wp:posOffset>1386840</wp:posOffset>
            </wp:positionH>
            <wp:positionV relativeFrom="paragraph">
              <wp:posOffset>-252095</wp:posOffset>
            </wp:positionV>
            <wp:extent cx="1438275" cy="742950"/>
            <wp:effectExtent l="19050" t="0" r="9525" b="0"/>
            <wp:wrapTight wrapText="bothSides">
              <wp:wrapPolygon edited="0">
                <wp:start x="-286" y="0"/>
                <wp:lineTo x="-286" y="21046"/>
                <wp:lineTo x="21743" y="21046"/>
                <wp:lineTo x="21743" y="0"/>
                <wp:lineTo x="-286" y="0"/>
              </wp:wrapPolygon>
            </wp:wrapTight>
            <wp:docPr id="2"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stretch>
                      <a:fillRect/>
                    </a:stretch>
                  </pic:blipFill>
                  <pic:spPr>
                    <a:xfrm>
                      <a:off x="0" y="0"/>
                      <a:ext cx="1438275" cy="742950"/>
                    </a:xfrm>
                    <a:prstGeom prst="rect">
                      <a:avLst/>
                    </a:prstGeom>
                  </pic:spPr>
                </pic:pic>
              </a:graphicData>
            </a:graphic>
          </wp:anchor>
        </w:drawing>
      </w:r>
    </w:p>
    <w:p w:rsidR="00406D50" w:rsidRPr="00D87441" w:rsidRDefault="00077BA3" w:rsidP="00077BA3">
      <w:pPr>
        <w:jc w:val="center"/>
        <w:rPr>
          <w:b/>
          <w:smallCaps/>
          <w:color w:val="17365D" w:themeColor="text2" w:themeShade="BF"/>
          <w:sz w:val="28"/>
          <w:szCs w:val="28"/>
          <w:lang w:val="en-GB"/>
        </w:rPr>
      </w:pPr>
      <w:r w:rsidRPr="00D87441">
        <w:rPr>
          <w:b/>
          <w:smallCaps/>
          <w:color w:val="17365D" w:themeColor="text2" w:themeShade="BF"/>
          <w:sz w:val="28"/>
          <w:szCs w:val="28"/>
          <w:lang w:val="en-GB"/>
        </w:rPr>
        <w:t>Mo</w:t>
      </w:r>
      <w:r w:rsidR="00211D67" w:rsidRPr="00D87441">
        <w:rPr>
          <w:b/>
          <w:smallCaps/>
          <w:color w:val="17365D" w:themeColor="text2" w:themeShade="BF"/>
          <w:sz w:val="28"/>
          <w:szCs w:val="28"/>
          <w:lang w:val="en-GB"/>
        </w:rPr>
        <w:t xml:space="preserve">tion on Governance </w:t>
      </w:r>
      <w:r w:rsidR="00DD3565">
        <w:rPr>
          <w:b/>
          <w:smallCaps/>
          <w:color w:val="17365D" w:themeColor="text2" w:themeShade="BF"/>
          <w:sz w:val="28"/>
          <w:szCs w:val="28"/>
          <w:lang w:val="en-GB"/>
        </w:rPr>
        <w:t xml:space="preserve">of </w:t>
      </w:r>
      <w:r w:rsidR="00211D67" w:rsidRPr="00D87441">
        <w:rPr>
          <w:b/>
          <w:smallCaps/>
          <w:color w:val="17365D" w:themeColor="text2" w:themeShade="BF"/>
          <w:sz w:val="28"/>
          <w:szCs w:val="28"/>
          <w:lang w:val="en-GB"/>
        </w:rPr>
        <w:t>natural resources</w:t>
      </w:r>
    </w:p>
    <w:p w:rsidR="00DE4BE8" w:rsidRPr="00D87441" w:rsidRDefault="00DE4BE8" w:rsidP="005D05E7">
      <w:pPr>
        <w:jc w:val="both"/>
        <w:rPr>
          <w:lang w:val="en-GB"/>
        </w:rPr>
      </w:pPr>
      <w:r w:rsidRPr="00D87441">
        <w:rPr>
          <w:lang w:val="en-GB"/>
        </w:rPr>
        <w:t xml:space="preserve">Due to the </w:t>
      </w:r>
      <w:r w:rsidR="00A44E32">
        <w:rPr>
          <w:lang w:val="en-GB"/>
        </w:rPr>
        <w:t>increasing significance of</w:t>
      </w:r>
      <w:r w:rsidRPr="00D87441">
        <w:rPr>
          <w:lang w:val="en-GB"/>
        </w:rPr>
        <w:t xml:space="preserve"> the </w:t>
      </w:r>
      <w:r w:rsidR="00A44E32">
        <w:rPr>
          <w:lang w:val="en-GB"/>
        </w:rPr>
        <w:t xml:space="preserve">topic of </w:t>
      </w:r>
      <w:r w:rsidRPr="00D87441">
        <w:rPr>
          <w:lang w:val="en-GB"/>
        </w:rPr>
        <w:t xml:space="preserve">natural resource governance in the IUCN, and because it is a central focus for its Spanish Committee, it is </w:t>
      </w:r>
      <w:r w:rsidR="00A44E32">
        <w:rPr>
          <w:lang w:val="en-GB"/>
        </w:rPr>
        <w:t>considered</w:t>
      </w:r>
      <w:r w:rsidRPr="00D87441">
        <w:rPr>
          <w:lang w:val="en-GB"/>
        </w:rPr>
        <w:t xml:space="preserve"> pertinent and necessary to put forward a motion for the next World Conservation Congress (Hawaii 2016). </w:t>
      </w:r>
      <w:r w:rsidR="00A44E32">
        <w:rPr>
          <w:lang w:val="en-GB"/>
        </w:rPr>
        <w:t xml:space="preserve">The latter </w:t>
      </w:r>
      <w:r w:rsidRPr="00D87441">
        <w:rPr>
          <w:lang w:val="en-GB"/>
        </w:rPr>
        <w:t xml:space="preserve">is a good space for working out strategies for the governance of natural resources through the system of motions (resolutions and recommendations), specific proposals </w:t>
      </w:r>
      <w:r w:rsidR="009F6E38" w:rsidRPr="00D87441">
        <w:rPr>
          <w:lang w:val="en-GB"/>
        </w:rPr>
        <w:t xml:space="preserve">for dealing </w:t>
      </w:r>
      <w:r w:rsidRPr="00D87441">
        <w:rPr>
          <w:lang w:val="en-GB"/>
        </w:rPr>
        <w:t>with different environmental challenge</w:t>
      </w:r>
      <w:r w:rsidR="009F6E38" w:rsidRPr="00D87441">
        <w:rPr>
          <w:lang w:val="en-GB"/>
        </w:rPr>
        <w:t xml:space="preserve">s </w:t>
      </w:r>
      <w:r w:rsidR="00A44E32">
        <w:rPr>
          <w:lang w:val="en-GB"/>
        </w:rPr>
        <w:t xml:space="preserve">which are </w:t>
      </w:r>
      <w:r w:rsidR="009F6E38" w:rsidRPr="00D87441">
        <w:rPr>
          <w:lang w:val="en-GB"/>
        </w:rPr>
        <w:t xml:space="preserve">submitted by IUCN members </w:t>
      </w:r>
      <w:r w:rsidR="00A44E32">
        <w:rPr>
          <w:lang w:val="en-GB"/>
        </w:rPr>
        <w:t>and</w:t>
      </w:r>
      <w:r w:rsidR="009F6E38" w:rsidRPr="00D87441">
        <w:rPr>
          <w:lang w:val="en-GB"/>
        </w:rPr>
        <w:t xml:space="preserve"> debated and adopted internationally. This system is important because the resolutions enable an IUCN position on a given subject to be drawn up, and for international </w:t>
      </w:r>
      <w:r w:rsidR="00A44E32">
        <w:rPr>
          <w:lang w:val="en-GB"/>
        </w:rPr>
        <w:t xml:space="preserve">agreements and </w:t>
      </w:r>
      <w:r w:rsidR="009F6E38" w:rsidRPr="00D87441">
        <w:rPr>
          <w:lang w:val="en-GB"/>
        </w:rPr>
        <w:t xml:space="preserve">standards to be adopted. It also enables internationally endorsed actions to be undertaken with governments. As we shall see, motions on </w:t>
      </w:r>
      <w:r w:rsidR="00A44E32">
        <w:rPr>
          <w:lang w:val="en-GB"/>
        </w:rPr>
        <w:t xml:space="preserve">the subject of </w:t>
      </w:r>
      <w:r w:rsidR="009F6E38" w:rsidRPr="00D87441">
        <w:rPr>
          <w:lang w:val="en-GB"/>
        </w:rPr>
        <w:t>governance have already been proposed</w:t>
      </w:r>
      <w:r w:rsidR="00A44E32">
        <w:rPr>
          <w:lang w:val="en-GB"/>
        </w:rPr>
        <w:t>; but</w:t>
      </w:r>
      <w:r w:rsidR="009F6E38" w:rsidRPr="00D87441">
        <w:rPr>
          <w:lang w:val="en-GB"/>
        </w:rPr>
        <w:t xml:space="preserve"> th</w:t>
      </w:r>
      <w:r w:rsidR="00A44E32">
        <w:rPr>
          <w:lang w:val="en-GB"/>
        </w:rPr>
        <w:t>at</w:t>
      </w:r>
      <w:r w:rsidR="009F6E38" w:rsidRPr="00D87441">
        <w:rPr>
          <w:lang w:val="en-GB"/>
        </w:rPr>
        <w:t xml:space="preserve"> work must be further developed, especially </w:t>
      </w:r>
      <w:r w:rsidR="00A44E32">
        <w:rPr>
          <w:lang w:val="en-GB"/>
        </w:rPr>
        <w:t xml:space="preserve">regarding its </w:t>
      </w:r>
      <w:r w:rsidR="009F6E38" w:rsidRPr="00D87441">
        <w:rPr>
          <w:lang w:val="en-GB"/>
        </w:rPr>
        <w:t xml:space="preserve">most practical and structural </w:t>
      </w:r>
      <w:r w:rsidR="00A44E32">
        <w:rPr>
          <w:lang w:val="en-GB"/>
        </w:rPr>
        <w:t>issues</w:t>
      </w:r>
      <w:r w:rsidR="009F6E38" w:rsidRPr="00D87441">
        <w:rPr>
          <w:lang w:val="en-GB"/>
        </w:rPr>
        <w:t xml:space="preserve">. </w:t>
      </w:r>
    </w:p>
    <w:p w:rsidR="005D05E7" w:rsidRPr="00D87441" w:rsidRDefault="005D05E7" w:rsidP="005D05E7">
      <w:pPr>
        <w:jc w:val="both"/>
        <w:rPr>
          <w:lang w:val="en-GB"/>
        </w:rPr>
      </w:pPr>
    </w:p>
    <w:p w:rsidR="00077BA3" w:rsidRPr="00D87441" w:rsidRDefault="009F6E38" w:rsidP="00077BA3">
      <w:pPr>
        <w:jc w:val="center"/>
        <w:rPr>
          <w:b/>
          <w:smallCaps/>
          <w:color w:val="17365D" w:themeColor="text2" w:themeShade="BF"/>
          <w:sz w:val="28"/>
          <w:szCs w:val="28"/>
          <w:lang w:val="en-GB"/>
        </w:rPr>
      </w:pPr>
      <w:r w:rsidRPr="00D87441">
        <w:rPr>
          <w:b/>
          <w:smallCaps/>
          <w:color w:val="17365D" w:themeColor="text2" w:themeShade="BF"/>
          <w:sz w:val="28"/>
          <w:szCs w:val="28"/>
          <w:lang w:val="en-GB"/>
        </w:rPr>
        <w:t>Theoretical context</w:t>
      </w:r>
    </w:p>
    <w:p w:rsidR="009F6E38" w:rsidRPr="00D87441" w:rsidRDefault="009F6E38" w:rsidP="004E0801">
      <w:pPr>
        <w:jc w:val="both"/>
        <w:rPr>
          <w:lang w:val="en-GB"/>
        </w:rPr>
      </w:pPr>
      <w:r w:rsidRPr="00D87441">
        <w:rPr>
          <w:lang w:val="en-GB"/>
        </w:rPr>
        <w:t xml:space="preserve">Before going into the environmental aspect, we believe a theoretical introduction </w:t>
      </w:r>
      <w:r w:rsidR="00A44E32">
        <w:rPr>
          <w:lang w:val="en-GB"/>
        </w:rPr>
        <w:t>to</w:t>
      </w:r>
      <w:r w:rsidRPr="00D87441">
        <w:rPr>
          <w:lang w:val="en-GB"/>
        </w:rPr>
        <w:t xml:space="preserve"> what we understand </w:t>
      </w:r>
      <w:r w:rsidR="00A44E32">
        <w:rPr>
          <w:lang w:val="en-GB"/>
        </w:rPr>
        <w:t>as ‘g</w:t>
      </w:r>
      <w:r w:rsidRPr="00D87441">
        <w:rPr>
          <w:lang w:val="en-GB"/>
        </w:rPr>
        <w:t>overnance</w:t>
      </w:r>
      <w:r w:rsidR="00A44E32">
        <w:rPr>
          <w:lang w:val="en-GB"/>
        </w:rPr>
        <w:t>’</w:t>
      </w:r>
      <w:r w:rsidRPr="00D87441">
        <w:rPr>
          <w:lang w:val="en-GB"/>
        </w:rPr>
        <w:t xml:space="preserve"> is necessary</w:t>
      </w:r>
      <w:r w:rsidR="00A44E32">
        <w:rPr>
          <w:lang w:val="en-GB"/>
        </w:rPr>
        <w:t xml:space="preserve">, as </w:t>
      </w:r>
      <w:r w:rsidRPr="00D87441">
        <w:rPr>
          <w:lang w:val="en-GB"/>
        </w:rPr>
        <w:t>these are terms our work will focus on. According to the UN, governance is “the process of decision-making and the process by which decisions are implemented (or not implemented).”</w:t>
      </w:r>
      <w:r w:rsidR="00665DDB" w:rsidRPr="00D87441">
        <w:rPr>
          <w:rStyle w:val="Refdenotaalpie"/>
          <w:lang w:val="en-GB"/>
        </w:rPr>
        <w:footnoteReference w:id="1"/>
      </w:r>
      <w:r w:rsidR="004E0801" w:rsidRPr="00D87441">
        <w:rPr>
          <w:lang w:val="en-GB"/>
        </w:rPr>
        <w:t xml:space="preserve"> </w:t>
      </w:r>
      <w:r w:rsidRPr="00D87441">
        <w:rPr>
          <w:lang w:val="en-GB"/>
        </w:rPr>
        <w:t>The term governance can be used in different contexts, such as corporate governance, international governance, national governance, local governance or natural resource governance</w:t>
      </w:r>
      <w:r w:rsidR="000A7B5C" w:rsidRPr="00D87441">
        <w:rPr>
          <w:lang w:val="en-GB"/>
        </w:rPr>
        <w:t>, as in the case we are concerned with.</w:t>
      </w:r>
    </w:p>
    <w:p w:rsidR="000A7B5C" w:rsidRPr="00D87441" w:rsidRDefault="000A7B5C" w:rsidP="007A27C3">
      <w:pPr>
        <w:jc w:val="both"/>
        <w:rPr>
          <w:lang w:val="en-GB"/>
        </w:rPr>
      </w:pPr>
      <w:r w:rsidRPr="00D87441">
        <w:rPr>
          <w:lang w:val="en-GB"/>
        </w:rPr>
        <w:t xml:space="preserve">Analysis of governance centres on the formal and informal </w:t>
      </w:r>
      <w:r w:rsidR="00A44E32">
        <w:rPr>
          <w:lang w:val="en-GB"/>
        </w:rPr>
        <w:t>actors</w:t>
      </w:r>
      <w:r w:rsidRPr="00D87441">
        <w:rPr>
          <w:lang w:val="en-GB"/>
        </w:rPr>
        <w:t xml:space="preserve"> involved in the process of making and implementing decisions, and on the formal and informal structures </w:t>
      </w:r>
      <w:r w:rsidR="00A44E32">
        <w:rPr>
          <w:lang w:val="en-GB"/>
        </w:rPr>
        <w:t xml:space="preserve">set up to </w:t>
      </w:r>
      <w:r w:rsidRPr="00D87441">
        <w:rPr>
          <w:lang w:val="en-GB"/>
        </w:rPr>
        <w:t xml:space="preserve">implement decisions. It is supported by a focus based on human rights, holding citizens to be bearers of rights with full capacity for participation, and also on social and gender equity regarding ethnic groups and the </w:t>
      </w:r>
      <w:r w:rsidR="00A44E32">
        <w:rPr>
          <w:lang w:val="en-GB"/>
        </w:rPr>
        <w:t>impoverished</w:t>
      </w:r>
      <w:r w:rsidRPr="00D87441">
        <w:rPr>
          <w:lang w:val="en-GB"/>
        </w:rPr>
        <w:t xml:space="preserve">, etc. </w:t>
      </w:r>
      <w:r w:rsidR="00A44E32">
        <w:rPr>
          <w:lang w:val="en-GB"/>
        </w:rPr>
        <w:t xml:space="preserve">All this bears </w:t>
      </w:r>
      <w:r w:rsidRPr="00D87441">
        <w:rPr>
          <w:lang w:val="en-GB"/>
        </w:rPr>
        <w:t>in mind a bottom-up decision</w:t>
      </w:r>
      <w:r w:rsidR="00A44E32">
        <w:rPr>
          <w:lang w:val="en-GB"/>
        </w:rPr>
        <w:t>-making</w:t>
      </w:r>
      <w:r w:rsidRPr="00D87441">
        <w:rPr>
          <w:lang w:val="en-GB"/>
        </w:rPr>
        <w:t xml:space="preserve"> and participation model, i.e. one based on citizens’ </w:t>
      </w:r>
      <w:r w:rsidR="00A44E32">
        <w:rPr>
          <w:lang w:val="en-GB"/>
        </w:rPr>
        <w:t>requirements</w:t>
      </w:r>
      <w:r w:rsidRPr="00D87441">
        <w:rPr>
          <w:lang w:val="en-GB"/>
        </w:rPr>
        <w:t xml:space="preserve"> and decisions, backed by governments and other stakeholders for balanced management of resources.</w:t>
      </w:r>
    </w:p>
    <w:p w:rsidR="000A7B5C" w:rsidRPr="00D87441" w:rsidRDefault="000A7B5C" w:rsidP="007A27C3">
      <w:pPr>
        <w:jc w:val="both"/>
        <w:rPr>
          <w:lang w:val="en-GB"/>
        </w:rPr>
      </w:pPr>
      <w:r w:rsidRPr="00D87441">
        <w:rPr>
          <w:lang w:val="en-GB"/>
        </w:rPr>
        <w:t>Governance must not be confused with government</w:t>
      </w:r>
      <w:r w:rsidR="009A25D3">
        <w:rPr>
          <w:lang w:val="en-GB"/>
        </w:rPr>
        <w:t>al</w:t>
      </w:r>
      <w:r w:rsidRPr="00D87441">
        <w:rPr>
          <w:lang w:val="en-GB"/>
        </w:rPr>
        <w:t xml:space="preserve"> management, as the government is just </w:t>
      </w:r>
      <w:r w:rsidR="009A25D3">
        <w:rPr>
          <w:lang w:val="en-GB"/>
        </w:rPr>
        <w:t>one</w:t>
      </w:r>
      <w:r w:rsidRPr="00D87441">
        <w:rPr>
          <w:lang w:val="en-GB"/>
        </w:rPr>
        <w:t xml:space="preserve"> </w:t>
      </w:r>
      <w:r w:rsidR="009A25D3">
        <w:rPr>
          <w:lang w:val="en-GB"/>
        </w:rPr>
        <w:t xml:space="preserve">actor, </w:t>
      </w:r>
      <w:r w:rsidRPr="00D87441">
        <w:rPr>
          <w:lang w:val="en-GB"/>
        </w:rPr>
        <w:t>which interacts with others depending on the context, e.g. landowners, farming and/or fishing associations, cooperatives, NGOs and research institutes, etc</w:t>
      </w:r>
      <w:r w:rsidR="009A25D3">
        <w:rPr>
          <w:lang w:val="en-GB"/>
        </w:rPr>
        <w:t>, in</w:t>
      </w:r>
      <w:r w:rsidR="00E81A6A" w:rsidRPr="00D87441">
        <w:rPr>
          <w:lang w:val="en-GB"/>
        </w:rPr>
        <w:t xml:space="preserve"> other words, agents of civil society, whose voice is indispensable as they are the main </w:t>
      </w:r>
      <w:r w:rsidR="009A25D3">
        <w:rPr>
          <w:lang w:val="en-GB"/>
        </w:rPr>
        <w:t>stakeholders</w:t>
      </w:r>
      <w:r w:rsidR="00E81A6A" w:rsidRPr="00D87441">
        <w:rPr>
          <w:lang w:val="en-GB"/>
        </w:rPr>
        <w:t xml:space="preserve"> who will </w:t>
      </w:r>
      <w:r w:rsidR="00E81A6A" w:rsidRPr="00D87441">
        <w:rPr>
          <w:lang w:val="en-GB"/>
        </w:rPr>
        <w:lastRenderedPageBreak/>
        <w:t xml:space="preserve">be impacted by the decisions made and </w:t>
      </w:r>
      <w:r w:rsidR="009A25D3">
        <w:rPr>
          <w:lang w:val="en-GB"/>
        </w:rPr>
        <w:t>applied</w:t>
      </w:r>
      <w:r w:rsidR="00E81A6A" w:rsidRPr="00D87441">
        <w:rPr>
          <w:lang w:val="en-GB"/>
        </w:rPr>
        <w:t xml:space="preserve">. The implementation structures can be informal, </w:t>
      </w:r>
      <w:r w:rsidR="009A25D3">
        <w:rPr>
          <w:lang w:val="en-GB"/>
        </w:rPr>
        <w:t xml:space="preserve">such as </w:t>
      </w:r>
      <w:r w:rsidR="00E81A6A" w:rsidRPr="00D87441">
        <w:rPr>
          <w:lang w:val="en-GB"/>
        </w:rPr>
        <w:t>advisors or assistance, or formal</w:t>
      </w:r>
      <w:r w:rsidR="009A25D3">
        <w:rPr>
          <w:lang w:val="en-GB"/>
        </w:rPr>
        <w:t xml:space="preserve">, </w:t>
      </w:r>
      <w:r w:rsidR="00E81A6A" w:rsidRPr="00D87441">
        <w:rPr>
          <w:lang w:val="en-GB"/>
        </w:rPr>
        <w:t>corresponding to the government.</w:t>
      </w:r>
    </w:p>
    <w:p w:rsidR="00E81A6A" w:rsidRPr="00D87441" w:rsidRDefault="009A25D3" w:rsidP="009327B6">
      <w:pPr>
        <w:jc w:val="both"/>
        <w:rPr>
          <w:lang w:val="en-GB"/>
        </w:rPr>
      </w:pPr>
      <w:r>
        <w:rPr>
          <w:lang w:val="en-GB"/>
        </w:rPr>
        <w:t xml:space="preserve">A good government is necessary for </w:t>
      </w:r>
      <w:r w:rsidR="00E81A6A" w:rsidRPr="00D87441">
        <w:rPr>
          <w:lang w:val="en-GB"/>
        </w:rPr>
        <w:t xml:space="preserve">all this to be </w:t>
      </w:r>
      <w:r>
        <w:rPr>
          <w:lang w:val="en-GB"/>
        </w:rPr>
        <w:t xml:space="preserve">done </w:t>
      </w:r>
      <w:r w:rsidR="00E81A6A" w:rsidRPr="00D87441">
        <w:rPr>
          <w:lang w:val="en-GB"/>
        </w:rPr>
        <w:t xml:space="preserve">correctly, that is, a lack of corruption, with decision-making capacity and participation extended to diverse groups, especially those in situations of vulnerability and  historically excluded, such as women. </w:t>
      </w:r>
      <w:r>
        <w:rPr>
          <w:lang w:val="en-GB"/>
        </w:rPr>
        <w:t>E</w:t>
      </w:r>
      <w:r w:rsidR="00E81A6A" w:rsidRPr="00D87441">
        <w:rPr>
          <w:lang w:val="en-GB"/>
        </w:rPr>
        <w:t xml:space="preserve">ight aspects help </w:t>
      </w:r>
      <w:r>
        <w:rPr>
          <w:lang w:val="en-GB"/>
        </w:rPr>
        <w:t>ensure</w:t>
      </w:r>
      <w:r w:rsidR="00E81A6A" w:rsidRPr="00D87441">
        <w:rPr>
          <w:lang w:val="en-GB"/>
        </w:rPr>
        <w:t xml:space="preserve"> </w:t>
      </w:r>
      <w:r>
        <w:rPr>
          <w:lang w:val="en-GB"/>
        </w:rPr>
        <w:t>proper</w:t>
      </w:r>
      <w:r w:rsidR="00E81A6A" w:rsidRPr="00D87441">
        <w:rPr>
          <w:lang w:val="en-GB"/>
        </w:rPr>
        <w:t xml:space="preserve"> governance: equitable information and participation, impartial </w:t>
      </w:r>
      <w:r>
        <w:rPr>
          <w:lang w:val="en-GB"/>
        </w:rPr>
        <w:t xml:space="preserve">and just </w:t>
      </w:r>
      <w:r w:rsidR="00E81A6A" w:rsidRPr="00D87441">
        <w:rPr>
          <w:lang w:val="en-GB"/>
        </w:rPr>
        <w:t xml:space="preserve">legal framework, transparency and accountability in decisions and information, co-responsibility, consensus, equality and non-discrimination, effectiveness and efficiency and, finally, sensitiveness to </w:t>
      </w:r>
      <w:r>
        <w:rPr>
          <w:lang w:val="en-GB"/>
        </w:rPr>
        <w:t>citizen demands</w:t>
      </w:r>
      <w:r w:rsidR="00E81A6A" w:rsidRPr="00D87441">
        <w:rPr>
          <w:lang w:val="en-GB"/>
        </w:rPr>
        <w:t>.</w:t>
      </w:r>
    </w:p>
    <w:p w:rsidR="006A2932" w:rsidRPr="00D87441" w:rsidRDefault="00E81A6A" w:rsidP="00077BA3">
      <w:pPr>
        <w:jc w:val="center"/>
        <w:rPr>
          <w:b/>
          <w:smallCaps/>
          <w:color w:val="17365D" w:themeColor="text2" w:themeShade="BF"/>
          <w:sz w:val="28"/>
          <w:szCs w:val="28"/>
          <w:lang w:val="en-GB"/>
        </w:rPr>
      </w:pPr>
      <w:r w:rsidRPr="00D87441">
        <w:rPr>
          <w:b/>
          <w:smallCaps/>
          <w:color w:val="17365D" w:themeColor="text2" w:themeShade="BF"/>
          <w:sz w:val="28"/>
          <w:szCs w:val="28"/>
          <w:lang w:val="en-GB"/>
        </w:rPr>
        <w:t>Governance of natural resources</w:t>
      </w:r>
      <w:r w:rsidR="006A2932" w:rsidRPr="00D87441">
        <w:rPr>
          <w:b/>
          <w:smallCaps/>
          <w:color w:val="17365D" w:themeColor="text2" w:themeShade="BF"/>
          <w:sz w:val="28"/>
          <w:szCs w:val="28"/>
          <w:lang w:val="en-GB"/>
        </w:rPr>
        <w:t xml:space="preserve"> </w:t>
      </w:r>
    </w:p>
    <w:p w:rsidR="00670F0C" w:rsidRPr="00D87441" w:rsidRDefault="005D6F66" w:rsidP="00665DDB">
      <w:pPr>
        <w:jc w:val="both"/>
        <w:rPr>
          <w:lang w:val="en-GB"/>
        </w:rPr>
      </w:pPr>
      <w:proofErr w:type="spellStart"/>
      <w:r w:rsidRPr="00D87441">
        <w:rPr>
          <w:lang w:val="en-GB"/>
        </w:rPr>
        <w:t>Aracely</w:t>
      </w:r>
      <w:proofErr w:type="spellEnd"/>
      <w:r w:rsidRPr="00D87441">
        <w:rPr>
          <w:lang w:val="en-GB"/>
        </w:rPr>
        <w:t xml:space="preserve"> </w:t>
      </w:r>
      <w:proofErr w:type="spellStart"/>
      <w:r w:rsidRPr="00D87441">
        <w:rPr>
          <w:lang w:val="en-GB"/>
        </w:rPr>
        <w:t>Pazmiño</w:t>
      </w:r>
      <w:proofErr w:type="spellEnd"/>
      <w:r w:rsidRPr="00D87441">
        <w:rPr>
          <w:lang w:val="en-GB"/>
        </w:rPr>
        <w:t xml:space="preserve"> </w:t>
      </w:r>
      <w:r w:rsidR="009A25D3">
        <w:rPr>
          <w:lang w:val="en-GB"/>
        </w:rPr>
        <w:t>supplies</w:t>
      </w:r>
      <w:r w:rsidR="00E81A6A" w:rsidRPr="00D87441">
        <w:rPr>
          <w:lang w:val="en-GB"/>
        </w:rPr>
        <w:t xml:space="preserve"> us with a definition of natural resource governance in the IUCN: “a concept that includes standards, institutions and processes that determine </w:t>
      </w:r>
      <w:r w:rsidR="00965E50" w:rsidRPr="00D87441">
        <w:rPr>
          <w:lang w:val="en-GB"/>
        </w:rPr>
        <w:t xml:space="preserve">how power and responsibilities are </w:t>
      </w:r>
      <w:r w:rsidR="009A25D3">
        <w:rPr>
          <w:lang w:val="en-GB"/>
        </w:rPr>
        <w:t>exercised</w:t>
      </w:r>
      <w:r w:rsidR="00965E50" w:rsidRPr="00D87441">
        <w:rPr>
          <w:lang w:val="en-GB"/>
        </w:rPr>
        <w:t>, how decisions are made and how citizens participate in natural resource management.”</w:t>
      </w:r>
      <w:r w:rsidR="00665DDB" w:rsidRPr="00D87441">
        <w:rPr>
          <w:rStyle w:val="Refdenotaalpie"/>
          <w:lang w:val="en-GB"/>
        </w:rPr>
        <w:footnoteReference w:id="2"/>
      </w:r>
      <w:r w:rsidR="00665DDB" w:rsidRPr="00D87441">
        <w:rPr>
          <w:lang w:val="en-GB"/>
        </w:rPr>
        <w:t xml:space="preserve"> </w:t>
      </w:r>
      <w:r w:rsidR="00965E50" w:rsidRPr="00D87441">
        <w:rPr>
          <w:lang w:val="en-GB"/>
        </w:rPr>
        <w:t xml:space="preserve">That is, governance involves the relationships and exercise of power, influence and decision-making </w:t>
      </w:r>
      <w:r w:rsidR="009A25D3">
        <w:rPr>
          <w:lang w:val="en-GB"/>
        </w:rPr>
        <w:t xml:space="preserve">between </w:t>
      </w:r>
      <w:r w:rsidR="00965E50" w:rsidRPr="00D87441">
        <w:rPr>
          <w:lang w:val="en-GB"/>
        </w:rPr>
        <w:t>actors, institutions and standards or laws.</w:t>
      </w:r>
      <w:r w:rsidR="00670F0C" w:rsidRPr="00D87441">
        <w:rPr>
          <w:lang w:val="en-GB"/>
        </w:rPr>
        <w:t xml:space="preserve"> </w:t>
      </w:r>
    </w:p>
    <w:p w:rsidR="00A46275" w:rsidRPr="00D87441" w:rsidRDefault="00965E50" w:rsidP="00665DDB">
      <w:pPr>
        <w:jc w:val="both"/>
        <w:rPr>
          <w:lang w:val="en-GB"/>
        </w:rPr>
      </w:pPr>
      <w:r w:rsidRPr="00D87441">
        <w:rPr>
          <w:lang w:val="en-GB"/>
        </w:rPr>
        <w:t>Regarding protected areas, the IUCN distinguishes four types of governance</w:t>
      </w:r>
      <w:r w:rsidR="00B26692" w:rsidRPr="00D87441">
        <w:rPr>
          <w:lang w:val="en-GB"/>
        </w:rPr>
        <w:t>:</w:t>
      </w:r>
      <w:r w:rsidR="00B26692" w:rsidRPr="00D87441">
        <w:rPr>
          <w:rStyle w:val="Refdenotaalpie"/>
          <w:lang w:val="en-GB"/>
        </w:rPr>
        <w:footnoteReference w:id="3"/>
      </w:r>
      <w:r w:rsidR="00B26692" w:rsidRPr="00D87441">
        <w:rPr>
          <w:lang w:val="en-GB"/>
        </w:rPr>
        <w:t xml:space="preserve"> </w:t>
      </w:r>
    </w:p>
    <w:p w:rsidR="00B26692" w:rsidRPr="00D87441" w:rsidRDefault="00B26692" w:rsidP="009C2A0E">
      <w:pPr>
        <w:jc w:val="both"/>
        <w:rPr>
          <w:lang w:val="en-GB"/>
        </w:rPr>
      </w:pPr>
      <w:r w:rsidRPr="00D87441">
        <w:rPr>
          <w:b/>
          <w:lang w:val="en-GB"/>
        </w:rPr>
        <w:t>T</w:t>
      </w:r>
      <w:r w:rsidR="00965E50" w:rsidRPr="00D87441">
        <w:rPr>
          <w:b/>
          <w:lang w:val="en-GB"/>
        </w:rPr>
        <w:t xml:space="preserve">ype </w:t>
      </w:r>
      <w:r w:rsidRPr="00D87441">
        <w:rPr>
          <w:b/>
          <w:lang w:val="en-GB"/>
        </w:rPr>
        <w:t xml:space="preserve">A: </w:t>
      </w:r>
      <w:r w:rsidR="00965E50" w:rsidRPr="00D87441">
        <w:rPr>
          <w:b/>
          <w:lang w:val="en-GB"/>
        </w:rPr>
        <w:t>Governance by the government (at central/state/sub-national or municipal level)</w:t>
      </w:r>
      <w:r w:rsidR="00965E50" w:rsidRPr="00D87441">
        <w:rPr>
          <w:bCs/>
          <w:lang w:val="en-GB"/>
        </w:rPr>
        <w:t>. A government office has the authority, responsibility and obligation to render accounts about management of the protected area</w:t>
      </w:r>
      <w:r w:rsidR="009A25D3">
        <w:rPr>
          <w:bCs/>
          <w:lang w:val="en-GB"/>
        </w:rPr>
        <w:t>;</w:t>
      </w:r>
    </w:p>
    <w:p w:rsidR="00965E50" w:rsidRPr="00D87441" w:rsidRDefault="009C2A0E" w:rsidP="009C2A0E">
      <w:pPr>
        <w:jc w:val="both"/>
        <w:rPr>
          <w:b/>
          <w:lang w:val="en-GB"/>
        </w:rPr>
      </w:pPr>
      <w:r w:rsidRPr="00D87441">
        <w:rPr>
          <w:b/>
          <w:lang w:val="en-GB"/>
        </w:rPr>
        <w:t>T</w:t>
      </w:r>
      <w:r w:rsidR="00965E50" w:rsidRPr="00D87441">
        <w:rPr>
          <w:b/>
          <w:lang w:val="en-GB"/>
        </w:rPr>
        <w:t xml:space="preserve">ype </w:t>
      </w:r>
      <w:r w:rsidRPr="00D87441">
        <w:rPr>
          <w:b/>
          <w:lang w:val="en-GB"/>
        </w:rPr>
        <w:t xml:space="preserve">B: </w:t>
      </w:r>
      <w:r w:rsidR="00965E50" w:rsidRPr="00D87441">
        <w:rPr>
          <w:b/>
          <w:lang w:val="en-GB"/>
        </w:rPr>
        <w:t>Shared governance</w:t>
      </w:r>
      <w:r w:rsidRPr="00D87441">
        <w:rPr>
          <w:lang w:val="en-GB"/>
        </w:rPr>
        <w:t>.</w:t>
      </w:r>
      <w:r w:rsidR="00965E50" w:rsidRPr="00D87441">
        <w:rPr>
          <w:lang w:val="en-GB"/>
        </w:rPr>
        <w:t xml:space="preserve"> Complex mechanisms and institutional processes are used to formally and informally share administrative authority and responsibility among various government and non-government </w:t>
      </w:r>
      <w:r w:rsidR="009A25D3">
        <w:rPr>
          <w:lang w:val="en-GB"/>
        </w:rPr>
        <w:t>entities;</w:t>
      </w:r>
      <w:r w:rsidR="00965E50" w:rsidRPr="00D87441">
        <w:rPr>
          <w:lang w:val="en-GB"/>
        </w:rPr>
        <w:t xml:space="preserve"> </w:t>
      </w:r>
      <w:r w:rsidRPr="00D87441">
        <w:rPr>
          <w:b/>
          <w:lang w:val="en-GB"/>
        </w:rPr>
        <w:t xml:space="preserve"> </w:t>
      </w:r>
    </w:p>
    <w:p w:rsidR="00EE07EE" w:rsidRPr="00D87441" w:rsidRDefault="00EE07EE" w:rsidP="00EE07EE">
      <w:pPr>
        <w:jc w:val="both"/>
        <w:rPr>
          <w:lang w:val="en-GB"/>
        </w:rPr>
      </w:pPr>
      <w:r w:rsidRPr="00D87441">
        <w:rPr>
          <w:b/>
          <w:lang w:val="en-GB"/>
        </w:rPr>
        <w:t>T</w:t>
      </w:r>
      <w:r w:rsidR="00965E50" w:rsidRPr="00D87441">
        <w:rPr>
          <w:b/>
          <w:lang w:val="en-GB"/>
        </w:rPr>
        <w:t xml:space="preserve">ype </w:t>
      </w:r>
      <w:r w:rsidRPr="00D87441">
        <w:rPr>
          <w:b/>
          <w:lang w:val="en-GB"/>
        </w:rPr>
        <w:t xml:space="preserve">C: </w:t>
      </w:r>
      <w:r w:rsidR="00965E50" w:rsidRPr="00D87441">
        <w:rPr>
          <w:b/>
          <w:lang w:val="en-GB"/>
        </w:rPr>
        <w:t>Private governance</w:t>
      </w:r>
      <w:r w:rsidRPr="00D87441">
        <w:rPr>
          <w:lang w:val="en-GB"/>
        </w:rPr>
        <w:t xml:space="preserve">. </w:t>
      </w:r>
      <w:r w:rsidR="00965E50" w:rsidRPr="00D87441">
        <w:rPr>
          <w:lang w:val="en-GB"/>
        </w:rPr>
        <w:t xml:space="preserve">Private governance </w:t>
      </w:r>
      <w:r w:rsidR="009A25D3">
        <w:rPr>
          <w:lang w:val="en-GB"/>
        </w:rPr>
        <w:t>covers</w:t>
      </w:r>
      <w:r w:rsidR="00965E50" w:rsidRPr="00D87441">
        <w:rPr>
          <w:lang w:val="en-GB"/>
        </w:rPr>
        <w:t xml:space="preserve"> protected areas under the control and/or ownership of </w:t>
      </w:r>
      <w:r w:rsidR="009A25D3">
        <w:rPr>
          <w:lang w:val="en-GB"/>
        </w:rPr>
        <w:t>individuals</w:t>
      </w:r>
      <w:r w:rsidR="00965E50" w:rsidRPr="00D87441">
        <w:rPr>
          <w:lang w:val="en-GB"/>
        </w:rPr>
        <w:t>, cooperatives, NGOs or corporations, run on a profit or non-profit basis</w:t>
      </w:r>
      <w:r w:rsidR="009A25D3">
        <w:rPr>
          <w:lang w:val="en-GB"/>
        </w:rPr>
        <w:t>;</w:t>
      </w:r>
    </w:p>
    <w:p w:rsidR="00965E50" w:rsidRPr="00D87441" w:rsidRDefault="00EE07EE" w:rsidP="00EE07EE">
      <w:pPr>
        <w:jc w:val="both"/>
        <w:rPr>
          <w:bCs/>
          <w:lang w:val="en-GB"/>
        </w:rPr>
      </w:pPr>
      <w:r w:rsidRPr="00D87441">
        <w:rPr>
          <w:b/>
          <w:lang w:val="en-GB"/>
        </w:rPr>
        <w:t>T</w:t>
      </w:r>
      <w:r w:rsidR="00965E50" w:rsidRPr="00D87441">
        <w:rPr>
          <w:b/>
          <w:lang w:val="en-GB"/>
        </w:rPr>
        <w:t>ype</w:t>
      </w:r>
      <w:r w:rsidRPr="00D87441">
        <w:rPr>
          <w:b/>
          <w:lang w:val="en-GB"/>
        </w:rPr>
        <w:t xml:space="preserve"> D: </w:t>
      </w:r>
      <w:r w:rsidR="00965E50" w:rsidRPr="00D87441">
        <w:rPr>
          <w:b/>
          <w:lang w:val="en-GB"/>
        </w:rPr>
        <w:t>Governance by indigenous peoples and local communities</w:t>
      </w:r>
      <w:r w:rsidR="00965E50" w:rsidRPr="00D87441">
        <w:rPr>
          <w:bCs/>
          <w:lang w:val="en-GB"/>
        </w:rPr>
        <w:t xml:space="preserve">. This type includes two large groups: (1) areas and territories of indigenous </w:t>
      </w:r>
      <w:proofErr w:type="gramStart"/>
      <w:r w:rsidR="00965E50" w:rsidRPr="00D87441">
        <w:rPr>
          <w:bCs/>
          <w:lang w:val="en-GB"/>
        </w:rPr>
        <w:t>peoples,</w:t>
      </w:r>
      <w:proofErr w:type="gramEnd"/>
      <w:r w:rsidR="00965E50" w:rsidRPr="00D87441">
        <w:rPr>
          <w:bCs/>
          <w:lang w:val="en-GB"/>
        </w:rPr>
        <w:t xml:space="preserve"> established and managed by them, and (2) areas conserved by communities, established and managed by local communities. Both groups can be hard to separate; </w:t>
      </w:r>
      <w:r w:rsidR="009A25D3">
        <w:rPr>
          <w:bCs/>
          <w:lang w:val="en-GB"/>
        </w:rPr>
        <w:t xml:space="preserve">refers to both sedentary and mobile </w:t>
      </w:r>
      <w:r w:rsidR="00965E50" w:rsidRPr="00D87441">
        <w:rPr>
          <w:bCs/>
          <w:lang w:val="en-GB"/>
        </w:rPr>
        <w:t>peoples and communities</w:t>
      </w:r>
      <w:r w:rsidR="009A25D3">
        <w:rPr>
          <w:bCs/>
          <w:lang w:val="en-GB"/>
        </w:rPr>
        <w:t>.</w:t>
      </w:r>
    </w:p>
    <w:p w:rsidR="000D2DFF" w:rsidRPr="00D87441" w:rsidRDefault="000D2DFF" w:rsidP="00BD23AC">
      <w:pPr>
        <w:jc w:val="both"/>
        <w:rPr>
          <w:lang w:val="en-GB"/>
        </w:rPr>
      </w:pPr>
      <w:r w:rsidRPr="00D87441">
        <w:rPr>
          <w:lang w:val="en-GB"/>
        </w:rPr>
        <w:t xml:space="preserve">Effective management of each of these types depends on the quality of the governance and how well it functions. Good governance of a protected area can be understood </w:t>
      </w:r>
      <w:r w:rsidR="009A25D3">
        <w:rPr>
          <w:lang w:val="en-GB"/>
        </w:rPr>
        <w:t>to mean</w:t>
      </w:r>
      <w:r w:rsidRPr="00D87441">
        <w:rPr>
          <w:lang w:val="en-GB"/>
        </w:rPr>
        <w:t xml:space="preserve"> “a governance system that responds to the principles and values freely chosen by the people of a </w:t>
      </w:r>
      <w:r w:rsidRPr="00D87441">
        <w:rPr>
          <w:lang w:val="en-GB"/>
        </w:rPr>
        <w:lastRenderedPageBreak/>
        <w:t xml:space="preserve">country and reflected in its constitution, natural resources law, legislation and </w:t>
      </w:r>
      <w:r w:rsidR="003857D3">
        <w:rPr>
          <w:lang w:val="en-GB"/>
        </w:rPr>
        <w:t>regulations</w:t>
      </w:r>
      <w:r w:rsidRPr="00D87441">
        <w:rPr>
          <w:lang w:val="en-GB"/>
        </w:rPr>
        <w:t xml:space="preserve"> for protected areas and cultural practices and traditional laws”.</w:t>
      </w:r>
    </w:p>
    <w:p w:rsidR="000D2DFF" w:rsidRPr="00D87441" w:rsidRDefault="000D2DFF" w:rsidP="00BD23AC">
      <w:pPr>
        <w:jc w:val="both"/>
        <w:rPr>
          <w:lang w:val="en-GB"/>
        </w:rPr>
      </w:pPr>
      <w:r w:rsidRPr="00D87441">
        <w:rPr>
          <w:lang w:val="en-GB"/>
        </w:rPr>
        <w:t xml:space="preserve">This effectiveness is reflected in </w:t>
      </w:r>
      <w:r w:rsidR="003857D3">
        <w:rPr>
          <w:lang w:val="en-GB"/>
        </w:rPr>
        <w:t>various</w:t>
      </w:r>
      <w:r w:rsidRPr="00D87441">
        <w:rPr>
          <w:lang w:val="en-GB"/>
        </w:rPr>
        <w:t xml:space="preserve"> international documents: the Convention on Biological Diversity, Aarhus Convention, United Nations Convention to Combat Desertification, Universal Declaration of Human Rights, United Nations Declaration on Rights and Convention 169 of the ILO on </w:t>
      </w:r>
      <w:r w:rsidR="003857D3">
        <w:rPr>
          <w:lang w:val="en-GB"/>
        </w:rPr>
        <w:t>I</w:t>
      </w:r>
      <w:r w:rsidRPr="00D87441">
        <w:rPr>
          <w:lang w:val="en-GB"/>
        </w:rPr>
        <w:t xml:space="preserve">ndigenous and </w:t>
      </w:r>
      <w:r w:rsidR="003857D3">
        <w:rPr>
          <w:lang w:val="en-GB"/>
        </w:rPr>
        <w:t>T</w:t>
      </w:r>
      <w:r w:rsidRPr="00D87441">
        <w:rPr>
          <w:lang w:val="en-GB"/>
        </w:rPr>
        <w:t xml:space="preserve">ribal </w:t>
      </w:r>
      <w:r w:rsidR="003857D3">
        <w:rPr>
          <w:lang w:val="en-GB"/>
        </w:rPr>
        <w:t>P</w:t>
      </w:r>
      <w:r w:rsidRPr="00D87441">
        <w:rPr>
          <w:lang w:val="en-GB"/>
        </w:rPr>
        <w:t xml:space="preserve">eoples. </w:t>
      </w:r>
      <w:r w:rsidR="003857D3">
        <w:rPr>
          <w:lang w:val="en-GB"/>
        </w:rPr>
        <w:t>It has also been present at</w:t>
      </w:r>
      <w:r w:rsidRPr="00D87441">
        <w:rPr>
          <w:lang w:val="en-GB"/>
        </w:rPr>
        <w:t xml:space="preserve"> different </w:t>
      </w:r>
      <w:r w:rsidR="003857D3">
        <w:rPr>
          <w:lang w:val="en-GB"/>
        </w:rPr>
        <w:t xml:space="preserve">regional and </w:t>
      </w:r>
      <w:r w:rsidRPr="00D87441">
        <w:rPr>
          <w:lang w:val="en-GB"/>
        </w:rPr>
        <w:t xml:space="preserve">international gatherings: World Parks Congress (2003 in South Africa), First Congress on Protected Marine Areas (2003 in Australia) and Second Latin-American Congress on Protected Areas (2007 in Argentina). </w:t>
      </w:r>
      <w:r w:rsidR="003857D3">
        <w:rPr>
          <w:lang w:val="en-GB"/>
        </w:rPr>
        <w:t>Taking the above into consideration</w:t>
      </w:r>
      <w:r w:rsidRPr="00D87441">
        <w:rPr>
          <w:lang w:val="en-GB"/>
        </w:rPr>
        <w:t>, the principles for good governance are:</w:t>
      </w:r>
    </w:p>
    <w:p w:rsidR="00BD23AC" w:rsidRPr="00D87441" w:rsidRDefault="000D2DFF" w:rsidP="00BD23AC">
      <w:pPr>
        <w:pStyle w:val="Prrafodelista"/>
        <w:numPr>
          <w:ilvl w:val="0"/>
          <w:numId w:val="5"/>
        </w:numPr>
        <w:jc w:val="both"/>
        <w:rPr>
          <w:lang w:val="en-GB"/>
        </w:rPr>
      </w:pPr>
      <w:r w:rsidRPr="00D87441">
        <w:rPr>
          <w:b/>
          <w:bCs/>
          <w:lang w:val="en-GB"/>
        </w:rPr>
        <w:t>Legitimacy and voice</w:t>
      </w:r>
      <w:r w:rsidRPr="00D87441">
        <w:rPr>
          <w:lang w:val="en-GB"/>
        </w:rPr>
        <w:t>: social dialogue and collective agreements on management strategies and goals for protected areas on the basis of freedom of association and non-discriminatory expression vis-à-vis gender, ethnic group, way of life, cultural values or other characteristics;</w:t>
      </w:r>
    </w:p>
    <w:p w:rsidR="00BD23AC" w:rsidRPr="00D87441" w:rsidRDefault="00133B82" w:rsidP="00BD23AC">
      <w:pPr>
        <w:pStyle w:val="Prrafodelista"/>
        <w:numPr>
          <w:ilvl w:val="0"/>
          <w:numId w:val="5"/>
        </w:numPr>
        <w:jc w:val="both"/>
        <w:rPr>
          <w:lang w:val="en-GB"/>
        </w:rPr>
      </w:pPr>
      <w:proofErr w:type="spellStart"/>
      <w:r w:rsidRPr="00D87441">
        <w:rPr>
          <w:b/>
          <w:lang w:val="en-GB"/>
        </w:rPr>
        <w:t>Subsidiari</w:t>
      </w:r>
      <w:r w:rsidR="000D2DFF" w:rsidRPr="00D87441">
        <w:rPr>
          <w:b/>
          <w:lang w:val="en-GB"/>
        </w:rPr>
        <w:t>ty</w:t>
      </w:r>
      <w:proofErr w:type="spellEnd"/>
      <w:r w:rsidRPr="00D87441">
        <w:rPr>
          <w:lang w:val="en-GB"/>
        </w:rPr>
        <w:t>:</w:t>
      </w:r>
      <w:r w:rsidR="004762BA" w:rsidRPr="00D87441">
        <w:rPr>
          <w:lang w:val="en-GB"/>
        </w:rPr>
        <w:t xml:space="preserve"> </w:t>
      </w:r>
      <w:r w:rsidR="003857D3">
        <w:rPr>
          <w:lang w:val="en-GB"/>
        </w:rPr>
        <w:t>to attribute</w:t>
      </w:r>
      <w:r w:rsidR="004762BA" w:rsidRPr="00D87441">
        <w:rPr>
          <w:lang w:val="en-GB"/>
        </w:rPr>
        <w:t xml:space="preserve"> management and responsibility to institutions closer to the resources in question;</w:t>
      </w:r>
    </w:p>
    <w:p w:rsidR="00BD23AC" w:rsidRPr="00D87441" w:rsidRDefault="003857D3" w:rsidP="00BD23AC">
      <w:pPr>
        <w:pStyle w:val="Prrafodelista"/>
        <w:numPr>
          <w:ilvl w:val="0"/>
          <w:numId w:val="5"/>
        </w:numPr>
        <w:jc w:val="both"/>
        <w:rPr>
          <w:lang w:val="en-GB"/>
        </w:rPr>
      </w:pPr>
      <w:r>
        <w:rPr>
          <w:b/>
          <w:lang w:val="en-GB"/>
        </w:rPr>
        <w:t>Fairness</w:t>
      </w:r>
      <w:r w:rsidR="00133B82" w:rsidRPr="00D87441">
        <w:rPr>
          <w:lang w:val="en-GB"/>
        </w:rPr>
        <w:t xml:space="preserve">: </w:t>
      </w:r>
      <w:r>
        <w:rPr>
          <w:lang w:val="en-GB"/>
        </w:rPr>
        <w:t xml:space="preserve">to </w:t>
      </w:r>
      <w:r w:rsidR="004762BA" w:rsidRPr="00D87441">
        <w:rPr>
          <w:lang w:val="en-GB"/>
        </w:rPr>
        <w:t xml:space="preserve">equitably </w:t>
      </w:r>
      <w:r>
        <w:rPr>
          <w:lang w:val="en-GB"/>
        </w:rPr>
        <w:t>share</w:t>
      </w:r>
      <w:r w:rsidR="004762BA" w:rsidRPr="00D87441">
        <w:rPr>
          <w:lang w:val="en-GB"/>
        </w:rPr>
        <w:t xml:space="preserve"> the costs and benefits of establishing and administering protected areas and </w:t>
      </w:r>
      <w:r>
        <w:rPr>
          <w:lang w:val="en-GB"/>
        </w:rPr>
        <w:t xml:space="preserve">to provide </w:t>
      </w:r>
      <w:r w:rsidR="004762BA" w:rsidRPr="00D87441">
        <w:rPr>
          <w:lang w:val="en-GB"/>
        </w:rPr>
        <w:t>for impartial judgment of any related dispute;</w:t>
      </w:r>
    </w:p>
    <w:p w:rsidR="00BD23AC" w:rsidRPr="00D87441" w:rsidRDefault="00D508B3" w:rsidP="00BD23AC">
      <w:pPr>
        <w:pStyle w:val="Prrafodelista"/>
        <w:numPr>
          <w:ilvl w:val="0"/>
          <w:numId w:val="5"/>
        </w:numPr>
        <w:jc w:val="both"/>
        <w:rPr>
          <w:lang w:val="en-GB"/>
        </w:rPr>
      </w:pPr>
      <w:r w:rsidRPr="00D87441">
        <w:rPr>
          <w:b/>
          <w:lang w:val="en-GB"/>
        </w:rPr>
        <w:t xml:space="preserve">No </w:t>
      </w:r>
      <w:r w:rsidR="004762BA" w:rsidRPr="00D87441">
        <w:rPr>
          <w:b/>
          <w:lang w:val="en-GB"/>
        </w:rPr>
        <w:t>damage done</w:t>
      </w:r>
      <w:r w:rsidRPr="00D87441">
        <w:rPr>
          <w:lang w:val="en-GB"/>
        </w:rPr>
        <w:t xml:space="preserve">: </w:t>
      </w:r>
      <w:r w:rsidR="003857D3">
        <w:rPr>
          <w:lang w:val="en-GB"/>
        </w:rPr>
        <w:t>to ensure</w:t>
      </w:r>
      <w:r w:rsidR="004762BA" w:rsidRPr="00D87441">
        <w:rPr>
          <w:lang w:val="en-GB"/>
        </w:rPr>
        <w:t xml:space="preserve"> that the costs of establishing and managing protected areas do not create or exacerbate poverty and vulnerability;</w:t>
      </w:r>
    </w:p>
    <w:p w:rsidR="00BD23AC" w:rsidRPr="00D87441" w:rsidRDefault="004762BA" w:rsidP="00BD23AC">
      <w:pPr>
        <w:pStyle w:val="Prrafodelista"/>
        <w:numPr>
          <w:ilvl w:val="0"/>
          <w:numId w:val="5"/>
        </w:numPr>
        <w:jc w:val="both"/>
        <w:rPr>
          <w:lang w:val="en-GB"/>
        </w:rPr>
      </w:pPr>
      <w:r w:rsidRPr="00D87441">
        <w:rPr>
          <w:b/>
          <w:lang w:val="en-GB"/>
        </w:rPr>
        <w:t>Direction</w:t>
      </w:r>
      <w:r w:rsidR="00D508B3" w:rsidRPr="00D87441">
        <w:rPr>
          <w:lang w:val="en-GB"/>
        </w:rPr>
        <w:t xml:space="preserve">: </w:t>
      </w:r>
      <w:r w:rsidR="003857D3">
        <w:rPr>
          <w:lang w:val="en-GB"/>
        </w:rPr>
        <w:t xml:space="preserve">to </w:t>
      </w:r>
      <w:r w:rsidRPr="00D87441">
        <w:rPr>
          <w:lang w:val="en-GB"/>
        </w:rPr>
        <w:t>foster and uphold an inspiring and consistent long-term vision regarding the protected area and its conservation goals;</w:t>
      </w:r>
    </w:p>
    <w:p w:rsidR="00BD23AC" w:rsidRPr="00D87441" w:rsidRDefault="004762BA" w:rsidP="00BD23AC">
      <w:pPr>
        <w:pStyle w:val="Prrafodelista"/>
        <w:numPr>
          <w:ilvl w:val="0"/>
          <w:numId w:val="5"/>
        </w:numPr>
        <w:jc w:val="both"/>
        <w:rPr>
          <w:lang w:val="en-GB"/>
        </w:rPr>
      </w:pPr>
      <w:r w:rsidRPr="00D87441">
        <w:rPr>
          <w:b/>
          <w:lang w:val="en-GB"/>
        </w:rPr>
        <w:t>Return</w:t>
      </w:r>
      <w:r w:rsidR="00D508B3" w:rsidRPr="00D87441">
        <w:rPr>
          <w:lang w:val="en-GB"/>
        </w:rPr>
        <w:t xml:space="preserve">: </w:t>
      </w:r>
      <w:r w:rsidR="003857D3">
        <w:rPr>
          <w:lang w:val="en-GB"/>
        </w:rPr>
        <w:t xml:space="preserve">to </w:t>
      </w:r>
      <w:r w:rsidRPr="00D87441">
        <w:rPr>
          <w:lang w:val="en-GB"/>
        </w:rPr>
        <w:t xml:space="preserve">effectively conserve biodiversity while responding to stakeholder concerns and </w:t>
      </w:r>
      <w:r w:rsidR="003857D3">
        <w:rPr>
          <w:lang w:val="en-GB"/>
        </w:rPr>
        <w:t>to use</w:t>
      </w:r>
      <w:r w:rsidRPr="00D87441">
        <w:rPr>
          <w:lang w:val="en-GB"/>
        </w:rPr>
        <w:t xml:space="preserve"> resources intelligently;</w:t>
      </w:r>
    </w:p>
    <w:p w:rsidR="00BD23AC" w:rsidRPr="00D87441" w:rsidRDefault="004762BA" w:rsidP="00BD23AC">
      <w:pPr>
        <w:pStyle w:val="Prrafodelista"/>
        <w:numPr>
          <w:ilvl w:val="0"/>
          <w:numId w:val="5"/>
        </w:numPr>
        <w:jc w:val="both"/>
        <w:rPr>
          <w:lang w:val="en-GB"/>
        </w:rPr>
      </w:pPr>
      <w:r w:rsidRPr="00D87441">
        <w:rPr>
          <w:b/>
          <w:lang w:val="en-GB"/>
        </w:rPr>
        <w:t>Accountability</w:t>
      </w:r>
      <w:r w:rsidR="00D508B3" w:rsidRPr="00D87441">
        <w:rPr>
          <w:lang w:val="en-GB"/>
        </w:rPr>
        <w:t xml:space="preserve">: </w:t>
      </w:r>
      <w:r w:rsidR="003857D3">
        <w:rPr>
          <w:lang w:val="en-GB"/>
        </w:rPr>
        <w:t xml:space="preserve">to </w:t>
      </w:r>
      <w:r w:rsidRPr="00D87441">
        <w:rPr>
          <w:lang w:val="en-GB"/>
        </w:rPr>
        <w:t xml:space="preserve">have clear lines of responsibility and ensure that </w:t>
      </w:r>
      <w:r w:rsidR="003857D3">
        <w:rPr>
          <w:lang w:val="en-GB"/>
        </w:rPr>
        <w:t xml:space="preserve">stakeholders have </w:t>
      </w:r>
      <w:r w:rsidRPr="00D87441">
        <w:rPr>
          <w:lang w:val="en-GB"/>
        </w:rPr>
        <w:t xml:space="preserve">appropriate </w:t>
      </w:r>
      <w:r w:rsidR="003857D3">
        <w:rPr>
          <w:lang w:val="en-GB"/>
        </w:rPr>
        <w:t xml:space="preserve">communication and </w:t>
      </w:r>
      <w:r w:rsidRPr="00D87441">
        <w:rPr>
          <w:lang w:val="en-GB"/>
        </w:rPr>
        <w:t xml:space="preserve">information </w:t>
      </w:r>
      <w:r w:rsidR="003857D3">
        <w:rPr>
          <w:lang w:val="en-GB"/>
        </w:rPr>
        <w:t>about fulfilment of</w:t>
      </w:r>
      <w:r w:rsidRPr="00D87441">
        <w:rPr>
          <w:lang w:val="en-GB"/>
        </w:rPr>
        <w:t xml:space="preserve"> their responsibilities;</w:t>
      </w:r>
    </w:p>
    <w:p w:rsidR="00BD23AC" w:rsidRPr="00D87441" w:rsidRDefault="00D508B3" w:rsidP="00BD23AC">
      <w:pPr>
        <w:pStyle w:val="Prrafodelista"/>
        <w:numPr>
          <w:ilvl w:val="0"/>
          <w:numId w:val="5"/>
        </w:numPr>
        <w:jc w:val="both"/>
        <w:rPr>
          <w:lang w:val="en-GB"/>
        </w:rPr>
      </w:pPr>
      <w:r w:rsidRPr="00D87441">
        <w:rPr>
          <w:b/>
          <w:lang w:val="en-GB"/>
        </w:rPr>
        <w:t>Transparenc</w:t>
      </w:r>
      <w:r w:rsidR="004762BA" w:rsidRPr="00D87441">
        <w:rPr>
          <w:b/>
          <w:lang w:val="en-GB"/>
        </w:rPr>
        <w:t>y</w:t>
      </w:r>
      <w:r w:rsidRPr="00D87441">
        <w:rPr>
          <w:lang w:val="en-GB"/>
        </w:rPr>
        <w:t xml:space="preserve">: </w:t>
      </w:r>
      <w:r w:rsidR="003857D3">
        <w:rPr>
          <w:lang w:val="en-GB"/>
        </w:rPr>
        <w:t>to en</w:t>
      </w:r>
      <w:r w:rsidR="004762BA" w:rsidRPr="00D87441">
        <w:rPr>
          <w:lang w:val="en-GB"/>
        </w:rPr>
        <w:t>sure that all relevant information is available for the groups involved;</w:t>
      </w:r>
    </w:p>
    <w:p w:rsidR="00D508B3" w:rsidRPr="00D87441" w:rsidRDefault="004762BA" w:rsidP="00D508B3">
      <w:pPr>
        <w:pStyle w:val="Prrafodelista"/>
        <w:numPr>
          <w:ilvl w:val="0"/>
          <w:numId w:val="5"/>
        </w:numPr>
        <w:jc w:val="both"/>
        <w:rPr>
          <w:lang w:val="en-GB"/>
        </w:rPr>
      </w:pPr>
      <w:r w:rsidRPr="00D87441">
        <w:rPr>
          <w:b/>
          <w:lang w:val="en-GB"/>
        </w:rPr>
        <w:t>Human rights</w:t>
      </w:r>
      <w:r w:rsidR="00D508B3" w:rsidRPr="00D87441">
        <w:rPr>
          <w:lang w:val="en-GB"/>
        </w:rPr>
        <w:t xml:space="preserve">: </w:t>
      </w:r>
      <w:r w:rsidR="003857D3">
        <w:rPr>
          <w:lang w:val="en-GB"/>
        </w:rPr>
        <w:t xml:space="preserve">to </w:t>
      </w:r>
      <w:r w:rsidRPr="00D87441">
        <w:rPr>
          <w:lang w:val="en-GB"/>
        </w:rPr>
        <w:t>respect human rights in the context of governance of protected areas, including the rights of future generations.</w:t>
      </w:r>
    </w:p>
    <w:p w:rsidR="00077BA3" w:rsidRPr="00D87441" w:rsidRDefault="004762BA" w:rsidP="00077BA3">
      <w:pPr>
        <w:jc w:val="center"/>
        <w:rPr>
          <w:b/>
          <w:smallCaps/>
          <w:color w:val="17365D" w:themeColor="text2" w:themeShade="BF"/>
          <w:sz w:val="28"/>
          <w:szCs w:val="28"/>
          <w:lang w:val="en-GB"/>
        </w:rPr>
      </w:pPr>
      <w:r w:rsidRPr="00D87441">
        <w:rPr>
          <w:b/>
          <w:smallCaps/>
          <w:color w:val="17365D" w:themeColor="text2" w:themeShade="BF"/>
          <w:sz w:val="28"/>
          <w:szCs w:val="28"/>
          <w:lang w:val="en-GB"/>
        </w:rPr>
        <w:t>Governance in IUCN documents and other international documents</w:t>
      </w:r>
      <w:r w:rsidR="00077BA3" w:rsidRPr="00D87441">
        <w:rPr>
          <w:b/>
          <w:smallCaps/>
          <w:color w:val="17365D" w:themeColor="text2" w:themeShade="BF"/>
          <w:sz w:val="28"/>
          <w:szCs w:val="28"/>
          <w:lang w:val="en-GB"/>
        </w:rPr>
        <w:t xml:space="preserve"> </w:t>
      </w:r>
    </w:p>
    <w:p w:rsidR="004762BA" w:rsidRPr="00D87441" w:rsidRDefault="004762BA" w:rsidP="007E4F71">
      <w:pPr>
        <w:jc w:val="both"/>
        <w:rPr>
          <w:lang w:val="en-GB"/>
        </w:rPr>
      </w:pPr>
      <w:r w:rsidRPr="00D87441">
        <w:rPr>
          <w:lang w:val="en-GB"/>
        </w:rPr>
        <w:t xml:space="preserve">Governance </w:t>
      </w:r>
      <w:r w:rsidR="003857D3">
        <w:rPr>
          <w:lang w:val="en-GB"/>
        </w:rPr>
        <w:t xml:space="preserve">is </w:t>
      </w:r>
      <w:r w:rsidRPr="00D87441">
        <w:rPr>
          <w:lang w:val="en-GB"/>
        </w:rPr>
        <w:t xml:space="preserve">a central theme for the IUCN </w:t>
      </w:r>
      <w:r w:rsidR="00337ECD">
        <w:rPr>
          <w:lang w:val="en-GB"/>
        </w:rPr>
        <w:t>which</w:t>
      </w:r>
      <w:r w:rsidR="003857D3">
        <w:rPr>
          <w:lang w:val="en-GB"/>
        </w:rPr>
        <w:t xml:space="preserve"> </w:t>
      </w:r>
      <w:r w:rsidRPr="00D87441">
        <w:rPr>
          <w:lang w:val="en-GB"/>
        </w:rPr>
        <w:t xml:space="preserve">has become </w:t>
      </w:r>
      <w:r w:rsidR="003857D3">
        <w:rPr>
          <w:lang w:val="en-GB"/>
        </w:rPr>
        <w:t xml:space="preserve">increasingly </w:t>
      </w:r>
      <w:r w:rsidR="00337ECD">
        <w:rPr>
          <w:lang w:val="en-GB"/>
        </w:rPr>
        <w:t xml:space="preserve">clear and </w:t>
      </w:r>
      <w:r w:rsidR="003857D3">
        <w:rPr>
          <w:lang w:val="en-GB"/>
        </w:rPr>
        <w:t>evident</w:t>
      </w:r>
      <w:r w:rsidRPr="00D87441">
        <w:rPr>
          <w:lang w:val="en-GB"/>
        </w:rPr>
        <w:t xml:space="preserve"> since the beginning of the 21</w:t>
      </w:r>
      <w:r w:rsidRPr="00D87441">
        <w:rPr>
          <w:vertAlign w:val="superscript"/>
          <w:lang w:val="en-GB"/>
        </w:rPr>
        <w:t>st</w:t>
      </w:r>
      <w:r w:rsidRPr="00D87441">
        <w:rPr>
          <w:lang w:val="en-GB"/>
        </w:rPr>
        <w:t xml:space="preserve"> century. This can be seen in Recommendation V.16 of the </w:t>
      </w:r>
      <w:r w:rsidRPr="00D87441">
        <w:rPr>
          <w:b/>
          <w:bCs/>
          <w:lang w:val="en-GB"/>
        </w:rPr>
        <w:t xml:space="preserve">World Conservation Congress </w:t>
      </w:r>
      <w:r w:rsidR="003F7E63" w:rsidRPr="00D87441">
        <w:rPr>
          <w:b/>
          <w:bCs/>
          <w:lang w:val="en-GB"/>
        </w:rPr>
        <w:t>(Amman, 2000)</w:t>
      </w:r>
      <w:r w:rsidRPr="00D87441">
        <w:rPr>
          <w:b/>
          <w:bCs/>
          <w:lang w:val="en-GB"/>
        </w:rPr>
        <w:t xml:space="preserve"> </w:t>
      </w:r>
      <w:r w:rsidRPr="00D87441">
        <w:rPr>
          <w:lang w:val="en-GB"/>
        </w:rPr>
        <w:t xml:space="preserve">on good governance in protected areas, which served as the basis enabling the </w:t>
      </w:r>
      <w:r w:rsidRPr="00D87441">
        <w:rPr>
          <w:b/>
          <w:bCs/>
          <w:lang w:val="en-GB"/>
        </w:rPr>
        <w:t>Action Plan of the 5</w:t>
      </w:r>
      <w:r w:rsidRPr="00D87441">
        <w:rPr>
          <w:b/>
          <w:bCs/>
          <w:vertAlign w:val="superscript"/>
          <w:lang w:val="en-GB"/>
        </w:rPr>
        <w:t>th</w:t>
      </w:r>
      <w:r w:rsidRPr="00D87441">
        <w:rPr>
          <w:b/>
          <w:bCs/>
          <w:lang w:val="en-GB"/>
        </w:rPr>
        <w:t xml:space="preserve"> IUCN </w:t>
      </w:r>
      <w:r w:rsidR="00337ECD">
        <w:rPr>
          <w:b/>
          <w:bCs/>
          <w:lang w:val="en-GB"/>
        </w:rPr>
        <w:t xml:space="preserve">World </w:t>
      </w:r>
      <w:r w:rsidRPr="00D87441">
        <w:rPr>
          <w:b/>
          <w:bCs/>
          <w:lang w:val="en-GB"/>
        </w:rPr>
        <w:t xml:space="preserve">Parks Congress </w:t>
      </w:r>
      <w:r w:rsidR="003F7E63" w:rsidRPr="00D87441">
        <w:rPr>
          <w:b/>
          <w:bCs/>
          <w:lang w:val="en-GB"/>
        </w:rPr>
        <w:t>(Durban, 2003)</w:t>
      </w:r>
      <w:r w:rsidR="003F7E63" w:rsidRPr="00D87441">
        <w:rPr>
          <w:lang w:val="en-GB"/>
        </w:rPr>
        <w:t xml:space="preserve"> to indicate that governance “</w:t>
      </w:r>
      <w:r w:rsidR="00337ECD">
        <w:rPr>
          <w:lang w:val="en-GB"/>
        </w:rPr>
        <w:t xml:space="preserve">is </w:t>
      </w:r>
      <w:r w:rsidR="003F7E63" w:rsidRPr="00D87441">
        <w:rPr>
          <w:lang w:val="en-GB"/>
        </w:rPr>
        <w:t xml:space="preserve">central to the conservation of protected areas throughout the world” (Outcome 8 of the Durban Action Plan) and that the Congress took note of various recommendations concerning </w:t>
      </w:r>
      <w:r w:rsidR="00337ECD">
        <w:rPr>
          <w:lang w:val="en-GB"/>
        </w:rPr>
        <w:t xml:space="preserve">good </w:t>
      </w:r>
      <w:r w:rsidR="003F7E63" w:rsidRPr="00D87441">
        <w:rPr>
          <w:lang w:val="en-GB"/>
        </w:rPr>
        <w:t>governance</w:t>
      </w:r>
      <w:r w:rsidR="00337ECD">
        <w:rPr>
          <w:lang w:val="en-GB"/>
        </w:rPr>
        <w:t xml:space="preserve"> principles as </w:t>
      </w:r>
      <w:r w:rsidR="003F7E63" w:rsidRPr="00D87441">
        <w:rPr>
          <w:lang w:val="en-GB"/>
        </w:rPr>
        <w:t xml:space="preserve">well as the advantages and diversity of different </w:t>
      </w:r>
      <w:r w:rsidR="00337ECD">
        <w:rPr>
          <w:lang w:val="en-GB"/>
        </w:rPr>
        <w:t>types</w:t>
      </w:r>
      <w:r w:rsidR="003F7E63" w:rsidRPr="00D87441">
        <w:rPr>
          <w:lang w:val="en-GB"/>
        </w:rPr>
        <w:t xml:space="preserve"> of governance.</w:t>
      </w:r>
    </w:p>
    <w:p w:rsidR="003F7E63" w:rsidRPr="00D87441" w:rsidRDefault="003F7E63" w:rsidP="00B67A0C">
      <w:pPr>
        <w:jc w:val="both"/>
        <w:rPr>
          <w:lang w:val="en-GB"/>
        </w:rPr>
      </w:pPr>
      <w:r w:rsidRPr="00D87441">
        <w:rPr>
          <w:lang w:val="en-GB"/>
        </w:rPr>
        <w:t xml:space="preserve">The IUCN presented the document on “The IUCN and Good Governance for Sustainable Development” at the meeting of the </w:t>
      </w:r>
      <w:r w:rsidRPr="00D87441">
        <w:rPr>
          <w:b/>
          <w:bCs/>
          <w:lang w:val="en-GB"/>
        </w:rPr>
        <w:t xml:space="preserve">Preparatory Committee (Bali) for the World Summit on </w:t>
      </w:r>
      <w:r w:rsidRPr="00D87441">
        <w:rPr>
          <w:b/>
          <w:bCs/>
          <w:lang w:val="en-GB"/>
        </w:rPr>
        <w:lastRenderedPageBreak/>
        <w:t>Sustainable Development (Johannesburg, 2002)</w:t>
      </w:r>
      <w:r w:rsidRPr="00D87441">
        <w:rPr>
          <w:lang w:val="en-GB"/>
        </w:rPr>
        <w:t xml:space="preserve">. It also made significant contributions on governance during the </w:t>
      </w:r>
      <w:r w:rsidRPr="00D87441">
        <w:rPr>
          <w:b/>
          <w:bCs/>
          <w:lang w:val="en-GB"/>
        </w:rPr>
        <w:t>Third World Water Forum (Kyoto, 2003)</w:t>
      </w:r>
      <w:r w:rsidRPr="00D87441">
        <w:rPr>
          <w:lang w:val="en-GB"/>
        </w:rPr>
        <w:t>.</w:t>
      </w:r>
    </w:p>
    <w:p w:rsidR="003F7E63" w:rsidRPr="00D87441" w:rsidRDefault="003F7E63" w:rsidP="00B67A0C">
      <w:pPr>
        <w:jc w:val="both"/>
        <w:rPr>
          <w:lang w:val="en-GB"/>
        </w:rPr>
      </w:pPr>
      <w:r w:rsidRPr="00D87441">
        <w:rPr>
          <w:lang w:val="en-GB"/>
        </w:rPr>
        <w:t xml:space="preserve">Resolution 012 on natural resource </w:t>
      </w:r>
      <w:r w:rsidR="00337ECD">
        <w:rPr>
          <w:lang w:val="en-GB"/>
        </w:rPr>
        <w:t xml:space="preserve">governance </w:t>
      </w:r>
      <w:r w:rsidRPr="00D87441">
        <w:rPr>
          <w:lang w:val="en-GB"/>
        </w:rPr>
        <w:t xml:space="preserve">for conservation and sustainable development adopted by the </w:t>
      </w:r>
      <w:r w:rsidRPr="00D87441">
        <w:rPr>
          <w:b/>
          <w:bCs/>
          <w:lang w:val="en-GB"/>
        </w:rPr>
        <w:t>3</w:t>
      </w:r>
      <w:r w:rsidRPr="00D87441">
        <w:rPr>
          <w:b/>
          <w:bCs/>
          <w:vertAlign w:val="superscript"/>
          <w:lang w:val="en-GB"/>
        </w:rPr>
        <w:t>rd</w:t>
      </w:r>
      <w:r w:rsidRPr="00D87441">
        <w:rPr>
          <w:b/>
          <w:bCs/>
          <w:lang w:val="en-GB"/>
        </w:rPr>
        <w:t xml:space="preserve"> </w:t>
      </w:r>
      <w:r w:rsidR="00337ECD">
        <w:rPr>
          <w:b/>
          <w:bCs/>
          <w:lang w:val="en-GB"/>
        </w:rPr>
        <w:t xml:space="preserve">IUCN </w:t>
      </w:r>
      <w:r w:rsidRPr="00D87441">
        <w:rPr>
          <w:b/>
          <w:bCs/>
          <w:lang w:val="en-GB"/>
        </w:rPr>
        <w:t>World Conservation Congress (Bangkok, 2004)</w:t>
      </w:r>
      <w:r w:rsidRPr="00D87441">
        <w:rPr>
          <w:lang w:val="en-GB"/>
        </w:rPr>
        <w:t xml:space="preserve"> is </w:t>
      </w:r>
      <w:r w:rsidR="00C1110D" w:rsidRPr="00D87441">
        <w:rPr>
          <w:lang w:val="en-GB"/>
        </w:rPr>
        <w:t>of major importance, as it urged the IUCN to play a leadership role with respect to natural resource governance for conservation and sustainable development.</w:t>
      </w:r>
    </w:p>
    <w:p w:rsidR="00C1110D" w:rsidRPr="00D87441" w:rsidRDefault="00C1110D" w:rsidP="00AF6B9F">
      <w:pPr>
        <w:jc w:val="both"/>
        <w:rPr>
          <w:lang w:val="en-GB"/>
        </w:rPr>
      </w:pPr>
      <w:r w:rsidRPr="00D87441">
        <w:rPr>
          <w:lang w:val="en-GB"/>
        </w:rPr>
        <w:t xml:space="preserve">These are complementary documents, along with others which since the 1990s have associated sustainable development </w:t>
      </w:r>
      <w:r w:rsidR="00337ECD">
        <w:rPr>
          <w:lang w:val="en-GB"/>
        </w:rPr>
        <w:t>and</w:t>
      </w:r>
      <w:r w:rsidRPr="00D87441">
        <w:rPr>
          <w:lang w:val="en-GB"/>
        </w:rPr>
        <w:t xml:space="preserve"> governance, such as the </w:t>
      </w:r>
      <w:r w:rsidRPr="00D87441">
        <w:rPr>
          <w:b/>
          <w:bCs/>
          <w:lang w:val="en-GB"/>
        </w:rPr>
        <w:t>Rio Declaration on Environment and Development (1992)</w:t>
      </w:r>
      <w:r w:rsidRPr="00D87441">
        <w:rPr>
          <w:lang w:val="en-GB"/>
        </w:rPr>
        <w:t xml:space="preserve">, whose principle 10 establishes that the best way to handle environmental issues is with participation of and information for all citizens. The </w:t>
      </w:r>
      <w:r w:rsidRPr="00D87441">
        <w:rPr>
          <w:b/>
          <w:bCs/>
          <w:lang w:val="en-GB"/>
        </w:rPr>
        <w:t xml:space="preserve">Aarhus Convention (1998) </w:t>
      </w:r>
      <w:r w:rsidRPr="00D87441">
        <w:rPr>
          <w:lang w:val="en-GB"/>
        </w:rPr>
        <w:t>affirms in its article 8 access to information, public participation in decision-making and access to justice in environmental matters.</w:t>
      </w:r>
    </w:p>
    <w:p w:rsidR="00C1110D" w:rsidRPr="00D87441" w:rsidRDefault="00C1110D" w:rsidP="00AF6B9F">
      <w:pPr>
        <w:jc w:val="both"/>
        <w:rPr>
          <w:lang w:val="en-GB"/>
        </w:rPr>
      </w:pPr>
      <w:r w:rsidRPr="00D87441">
        <w:rPr>
          <w:lang w:val="en-GB"/>
        </w:rPr>
        <w:t xml:space="preserve">Also noteworthy besides the </w:t>
      </w:r>
      <w:r w:rsidRPr="00D87441">
        <w:rPr>
          <w:b/>
          <w:bCs/>
          <w:lang w:val="en-GB"/>
        </w:rPr>
        <w:t>Application Plan for Decisions of the World Summit on Sustainable Development (WSSD – Johannesburg, 2002)</w:t>
      </w:r>
      <w:r w:rsidRPr="00D87441">
        <w:rPr>
          <w:lang w:val="en-GB"/>
        </w:rPr>
        <w:t xml:space="preserve">, the </w:t>
      </w:r>
      <w:r w:rsidR="00337ECD">
        <w:rPr>
          <w:b/>
          <w:bCs/>
          <w:lang w:val="en-GB"/>
        </w:rPr>
        <w:t xml:space="preserve">United Nations </w:t>
      </w:r>
      <w:r w:rsidRPr="00D87441">
        <w:rPr>
          <w:b/>
          <w:bCs/>
          <w:lang w:val="en-GB"/>
        </w:rPr>
        <w:t xml:space="preserve">Millennium Declaration (2000) </w:t>
      </w:r>
      <w:r w:rsidRPr="00D87441">
        <w:rPr>
          <w:lang w:val="en-GB"/>
        </w:rPr>
        <w:t xml:space="preserve">or the </w:t>
      </w:r>
      <w:r w:rsidRPr="00D87441">
        <w:rPr>
          <w:b/>
          <w:bCs/>
          <w:lang w:val="en-GB"/>
        </w:rPr>
        <w:t xml:space="preserve">Monterrey Consensus (Monterrey, 2002), </w:t>
      </w:r>
      <w:r w:rsidRPr="00D87441">
        <w:rPr>
          <w:lang w:val="en-GB"/>
        </w:rPr>
        <w:t xml:space="preserve">is the programme </w:t>
      </w:r>
      <w:r w:rsidR="00184B04" w:rsidRPr="00D87441">
        <w:rPr>
          <w:lang w:val="en-GB"/>
        </w:rPr>
        <w:t xml:space="preserve">of work </w:t>
      </w:r>
      <w:r w:rsidRPr="00D87441">
        <w:rPr>
          <w:lang w:val="en-GB"/>
        </w:rPr>
        <w:t>on protected areas adopted per Decision VII/28 of the 7</w:t>
      </w:r>
      <w:r w:rsidRPr="00D87441">
        <w:rPr>
          <w:vertAlign w:val="superscript"/>
          <w:lang w:val="en-GB"/>
        </w:rPr>
        <w:t>th</w:t>
      </w:r>
      <w:r w:rsidRPr="00D87441">
        <w:rPr>
          <w:lang w:val="en-GB"/>
        </w:rPr>
        <w:t xml:space="preserve"> </w:t>
      </w:r>
      <w:r w:rsidR="00337ECD">
        <w:rPr>
          <w:lang w:val="en-GB"/>
        </w:rPr>
        <w:t>C</w:t>
      </w:r>
      <w:r w:rsidRPr="00D87441">
        <w:rPr>
          <w:lang w:val="en-GB"/>
        </w:rPr>
        <w:t xml:space="preserve">onference of </w:t>
      </w:r>
      <w:r w:rsidR="00184B04" w:rsidRPr="00D87441">
        <w:rPr>
          <w:lang w:val="en-GB"/>
        </w:rPr>
        <w:t xml:space="preserve">the </w:t>
      </w:r>
      <w:r w:rsidR="00337ECD">
        <w:rPr>
          <w:lang w:val="en-GB"/>
        </w:rPr>
        <w:t>P</w:t>
      </w:r>
      <w:r w:rsidRPr="00D87441">
        <w:rPr>
          <w:lang w:val="en-GB"/>
        </w:rPr>
        <w:t xml:space="preserve">arties in the </w:t>
      </w:r>
      <w:r w:rsidRPr="00D87441">
        <w:rPr>
          <w:b/>
          <w:bCs/>
          <w:lang w:val="en-GB"/>
        </w:rPr>
        <w:t>Convention on Biological Diversity (CBD – Kuala Lumpur, 2004)</w:t>
      </w:r>
      <w:r w:rsidRPr="00D87441">
        <w:rPr>
          <w:lang w:val="en-GB"/>
        </w:rPr>
        <w:t xml:space="preserve">, </w:t>
      </w:r>
      <w:r w:rsidR="00184B04" w:rsidRPr="00D87441">
        <w:rPr>
          <w:lang w:val="en-GB"/>
        </w:rPr>
        <w:t xml:space="preserve">which includes an element on “governance, participation, equity and benefit sharing”. Finally, the </w:t>
      </w:r>
      <w:r w:rsidR="00184B04" w:rsidRPr="00D87441">
        <w:rPr>
          <w:b/>
          <w:bCs/>
          <w:lang w:val="en-GB"/>
        </w:rPr>
        <w:t xml:space="preserve">2011-2020 Strategy Plan and </w:t>
      </w:r>
      <w:r w:rsidR="00337ECD">
        <w:rPr>
          <w:b/>
          <w:bCs/>
          <w:lang w:val="en-GB"/>
        </w:rPr>
        <w:t xml:space="preserve">Aichi </w:t>
      </w:r>
      <w:r w:rsidR="00184B04" w:rsidRPr="00D87441">
        <w:rPr>
          <w:b/>
          <w:bCs/>
          <w:lang w:val="en-GB"/>
        </w:rPr>
        <w:t xml:space="preserve">Targets of the Convention </w:t>
      </w:r>
      <w:r w:rsidR="00337ECD">
        <w:rPr>
          <w:b/>
          <w:bCs/>
          <w:lang w:val="en-GB"/>
        </w:rPr>
        <w:t xml:space="preserve">on </w:t>
      </w:r>
      <w:r w:rsidR="00184B04" w:rsidRPr="00D87441">
        <w:rPr>
          <w:b/>
          <w:bCs/>
          <w:lang w:val="en-GB"/>
        </w:rPr>
        <w:t>Biological Diversity (2010)</w:t>
      </w:r>
      <w:r w:rsidR="00184B04" w:rsidRPr="00D87441">
        <w:rPr>
          <w:lang w:val="en-GB"/>
        </w:rPr>
        <w:t xml:space="preserve"> should be highlighted; its target 1</w:t>
      </w:r>
      <w:r w:rsidR="00337ECD">
        <w:rPr>
          <w:lang w:val="en-GB"/>
        </w:rPr>
        <w:t>1</w:t>
      </w:r>
      <w:r w:rsidR="00184B04" w:rsidRPr="00D87441">
        <w:rPr>
          <w:lang w:val="en-GB"/>
        </w:rPr>
        <w:t xml:space="preserve"> indicates that protected areas’ systems should be effectively and </w:t>
      </w:r>
      <w:r w:rsidR="00337ECD">
        <w:rPr>
          <w:lang w:val="en-GB"/>
        </w:rPr>
        <w:t>fairly</w:t>
      </w:r>
      <w:r w:rsidR="00184B04" w:rsidRPr="00D87441">
        <w:rPr>
          <w:lang w:val="en-GB"/>
        </w:rPr>
        <w:t xml:space="preserve"> administered.</w:t>
      </w:r>
    </w:p>
    <w:p w:rsidR="00222913" w:rsidRPr="00D87441" w:rsidRDefault="00184B04" w:rsidP="00AF6B9F">
      <w:pPr>
        <w:jc w:val="both"/>
        <w:rPr>
          <w:lang w:val="en-GB"/>
        </w:rPr>
      </w:pPr>
      <w:r w:rsidRPr="00D87441">
        <w:rPr>
          <w:lang w:val="en-GB"/>
        </w:rPr>
        <w:t xml:space="preserve">Thanks to these documents, the IUCN’s programming has been </w:t>
      </w:r>
      <w:r w:rsidR="00337ECD">
        <w:rPr>
          <w:lang w:val="en-GB"/>
        </w:rPr>
        <w:t>making</w:t>
      </w:r>
      <w:r w:rsidRPr="00D87441">
        <w:rPr>
          <w:lang w:val="en-GB"/>
        </w:rPr>
        <w:t xml:space="preserve"> natural resource governance operative in its different programmes:</w:t>
      </w:r>
      <w:r w:rsidR="00ED4A30" w:rsidRPr="00D87441">
        <w:rPr>
          <w:lang w:val="en-GB"/>
        </w:rPr>
        <w:t xml:space="preserve"> </w:t>
      </w:r>
    </w:p>
    <w:p w:rsidR="00184B04" w:rsidRPr="00D87441" w:rsidRDefault="00184B04" w:rsidP="00B67A0C">
      <w:pPr>
        <w:jc w:val="both"/>
        <w:rPr>
          <w:lang w:val="en-GB"/>
        </w:rPr>
      </w:pPr>
      <w:r w:rsidRPr="00D87441">
        <w:rPr>
          <w:lang w:val="en-GB"/>
        </w:rPr>
        <w:t xml:space="preserve">The </w:t>
      </w:r>
      <w:r w:rsidRPr="00D87441">
        <w:rPr>
          <w:b/>
          <w:bCs/>
          <w:lang w:val="en-GB"/>
        </w:rPr>
        <w:t>2005-2008 Programme</w:t>
      </w:r>
      <w:r w:rsidR="00B67A0C" w:rsidRPr="00D87441">
        <w:rPr>
          <w:rStyle w:val="Refdenotaalpie"/>
          <w:lang w:val="en-GB"/>
        </w:rPr>
        <w:footnoteReference w:id="4"/>
      </w:r>
      <w:r w:rsidRPr="00D87441">
        <w:rPr>
          <w:b/>
          <w:bCs/>
          <w:lang w:val="en-GB"/>
        </w:rPr>
        <w:t xml:space="preserve"> </w:t>
      </w:r>
      <w:r w:rsidRPr="00D87441">
        <w:rPr>
          <w:lang w:val="en-GB"/>
        </w:rPr>
        <w:t xml:space="preserve">highlights the importance of governance, providing a number of standards to guide conservation activities: transparency (openness of decision-making), access to information and justice (reliable, effective and open communication), public participation (genuine involvement in decision-making), coherence (consistent focus), </w:t>
      </w:r>
      <w:proofErr w:type="spellStart"/>
      <w:r w:rsidRPr="00D87441">
        <w:rPr>
          <w:lang w:val="en-GB"/>
        </w:rPr>
        <w:t>subsidiarity</w:t>
      </w:r>
      <w:proofErr w:type="spellEnd"/>
      <w:r w:rsidRPr="00D87441">
        <w:rPr>
          <w:lang w:val="en-GB"/>
        </w:rPr>
        <w:t xml:space="preserve"> (decisions made at the lowest appropriate level), respect for human rights (interwoven with ‘good’ environmental governance), responsibility vis-à-vis third parties (for economic, social and environmental results) and rule of law (</w:t>
      </w:r>
      <w:r w:rsidR="00482F76" w:rsidRPr="00D87441">
        <w:rPr>
          <w:lang w:val="en-GB"/>
        </w:rPr>
        <w:t xml:space="preserve">impartial, transparent and consistent </w:t>
      </w:r>
      <w:r w:rsidRPr="00D87441">
        <w:rPr>
          <w:lang w:val="en-GB"/>
        </w:rPr>
        <w:t xml:space="preserve">application of </w:t>
      </w:r>
      <w:r w:rsidR="00482F76" w:rsidRPr="00D87441">
        <w:rPr>
          <w:lang w:val="en-GB"/>
        </w:rPr>
        <w:t>legal rules at all levels).</w:t>
      </w:r>
    </w:p>
    <w:p w:rsidR="00482F76" w:rsidRPr="00D87441" w:rsidRDefault="00482F76" w:rsidP="004D67D3">
      <w:pPr>
        <w:jc w:val="both"/>
        <w:rPr>
          <w:lang w:val="en-GB"/>
        </w:rPr>
      </w:pPr>
      <w:r w:rsidRPr="00D87441">
        <w:rPr>
          <w:lang w:val="en-GB"/>
        </w:rPr>
        <w:t xml:space="preserve">The </w:t>
      </w:r>
      <w:r w:rsidRPr="00D87441">
        <w:rPr>
          <w:b/>
          <w:bCs/>
          <w:lang w:val="en-GB"/>
        </w:rPr>
        <w:t>2009-2012 Programme</w:t>
      </w:r>
      <w:r w:rsidR="00ED4A30" w:rsidRPr="00D87441">
        <w:rPr>
          <w:rStyle w:val="Refdenotaalpie"/>
          <w:lang w:val="en-GB"/>
        </w:rPr>
        <w:footnoteReference w:id="5"/>
      </w:r>
      <w:r w:rsidR="00ED4A30" w:rsidRPr="00D87441">
        <w:rPr>
          <w:lang w:val="en-GB"/>
        </w:rPr>
        <w:t xml:space="preserve"> </w:t>
      </w:r>
      <w:r w:rsidRPr="00D87441">
        <w:rPr>
          <w:lang w:val="en-GB"/>
        </w:rPr>
        <w:t xml:space="preserve">considers global result 1.1, </w:t>
      </w:r>
      <w:r w:rsidR="00337ECD">
        <w:rPr>
          <w:lang w:val="en-GB"/>
        </w:rPr>
        <w:t xml:space="preserve">in </w:t>
      </w:r>
      <w:r w:rsidRPr="00D87441">
        <w:rPr>
          <w:lang w:val="en-GB"/>
        </w:rPr>
        <w:t>the programme’s central area: policies concerning biodiversity and governance systems make possible the actions needed to conserve biodiversity</w:t>
      </w:r>
      <w:r w:rsidR="00EF3016" w:rsidRPr="00D87441">
        <w:rPr>
          <w:lang w:val="en-GB"/>
        </w:rPr>
        <w:t>.</w:t>
      </w:r>
      <w:r w:rsidRPr="00D87441">
        <w:rPr>
          <w:lang w:val="en-GB"/>
        </w:rPr>
        <w:t xml:space="preserve"> It is highlighted that the environmental community is increasingly worried about the governance of natural resources, concerted and collective action for their </w:t>
      </w:r>
      <w:r w:rsidR="00337ECD">
        <w:rPr>
          <w:lang w:val="en-GB"/>
        </w:rPr>
        <w:t xml:space="preserve">effective </w:t>
      </w:r>
      <w:r w:rsidRPr="00D87441">
        <w:rPr>
          <w:lang w:val="en-GB"/>
        </w:rPr>
        <w:t xml:space="preserve">management and the challenge involved in governing resources and places which extend beyond political borders, including many river basins and trans-national protected </w:t>
      </w:r>
      <w:r w:rsidRPr="00D87441">
        <w:rPr>
          <w:lang w:val="en-GB"/>
        </w:rPr>
        <w:lastRenderedPageBreak/>
        <w:t xml:space="preserve">areas. The IUCN sought to </w:t>
      </w:r>
      <w:r w:rsidR="004A487B">
        <w:rPr>
          <w:lang w:val="en-GB"/>
        </w:rPr>
        <w:t xml:space="preserve">emphasise support for </w:t>
      </w:r>
      <w:r w:rsidRPr="00D87441">
        <w:rPr>
          <w:lang w:val="en-GB"/>
        </w:rPr>
        <w:t xml:space="preserve">full enabling of governance policies and systems meant to </w:t>
      </w:r>
      <w:r w:rsidR="004A487B">
        <w:rPr>
          <w:lang w:val="en-GB"/>
        </w:rPr>
        <w:t xml:space="preserve">carry out </w:t>
      </w:r>
      <w:r w:rsidRPr="00D87441">
        <w:rPr>
          <w:lang w:val="en-GB"/>
        </w:rPr>
        <w:t>natural resource</w:t>
      </w:r>
      <w:r w:rsidR="004A487B">
        <w:rPr>
          <w:lang w:val="en-GB"/>
        </w:rPr>
        <w:t xml:space="preserve"> conservation action</w:t>
      </w:r>
      <w:r w:rsidRPr="00D87441">
        <w:rPr>
          <w:lang w:val="en-GB"/>
        </w:rPr>
        <w:t>s.</w:t>
      </w:r>
    </w:p>
    <w:p w:rsidR="00482F76" w:rsidRPr="00D87441" w:rsidRDefault="00482F76" w:rsidP="00D86EF6">
      <w:pPr>
        <w:jc w:val="both"/>
        <w:rPr>
          <w:lang w:val="en-GB"/>
        </w:rPr>
      </w:pPr>
      <w:r w:rsidRPr="00D87441">
        <w:rPr>
          <w:lang w:val="en-GB"/>
        </w:rPr>
        <w:t xml:space="preserve">In the </w:t>
      </w:r>
      <w:r w:rsidRPr="00D87441">
        <w:rPr>
          <w:b/>
          <w:bCs/>
          <w:lang w:val="en-GB"/>
        </w:rPr>
        <w:t>2013-2016 Programme</w:t>
      </w:r>
      <w:r w:rsidR="004D67D3" w:rsidRPr="00D87441">
        <w:rPr>
          <w:rStyle w:val="Refdenotaalpie"/>
          <w:lang w:val="en-GB"/>
        </w:rPr>
        <w:footnoteReference w:id="6"/>
      </w:r>
      <w:r w:rsidR="004D67D3" w:rsidRPr="00D87441">
        <w:rPr>
          <w:lang w:val="en-GB"/>
        </w:rPr>
        <w:t>,</w:t>
      </w:r>
      <w:r w:rsidR="00637BA5" w:rsidRPr="00D87441">
        <w:rPr>
          <w:lang w:val="en-GB"/>
        </w:rPr>
        <w:t xml:space="preserve"> </w:t>
      </w:r>
      <w:r w:rsidRPr="00D87441">
        <w:rPr>
          <w:lang w:val="en-GB"/>
        </w:rPr>
        <w:t>the IUCN self-defines itself as being a “global authority for the conservation of biodiversity, nature-based solutions and environmental governance”. The programme con</w:t>
      </w:r>
      <w:r w:rsidR="004A487B">
        <w:rPr>
          <w:lang w:val="en-GB"/>
        </w:rPr>
        <w:t xml:space="preserve">sists of </w:t>
      </w:r>
      <w:r w:rsidRPr="00D87441">
        <w:rPr>
          <w:lang w:val="en-GB"/>
        </w:rPr>
        <w:t>three areas</w:t>
      </w:r>
      <w:r w:rsidR="001549CE" w:rsidRPr="00D87441">
        <w:rPr>
          <w:lang w:val="en-GB"/>
        </w:rPr>
        <w:t xml:space="preserve">, with the second concerning effective and </w:t>
      </w:r>
      <w:r w:rsidR="004A487B">
        <w:rPr>
          <w:lang w:val="en-GB"/>
        </w:rPr>
        <w:t>fair</w:t>
      </w:r>
      <w:r w:rsidR="001549CE" w:rsidRPr="00D87441">
        <w:rPr>
          <w:lang w:val="en-GB"/>
        </w:rPr>
        <w:t xml:space="preserve"> governance in the use of nature, an area which consolidates the IUCN’s work on “relations between people and nature”, rights and responsibilities, and economic policy with respect to nature. It is </w:t>
      </w:r>
      <w:r w:rsidR="004A487B">
        <w:rPr>
          <w:lang w:val="en-GB"/>
        </w:rPr>
        <w:t>stated</w:t>
      </w:r>
      <w:r w:rsidR="001549CE" w:rsidRPr="00D87441">
        <w:rPr>
          <w:lang w:val="en-GB"/>
        </w:rPr>
        <w:t xml:space="preserve"> that natural resource governance leads to effective, just, gender-sensitive and fair conservation, producing tangible benefits for the means of subsistence. The following indicators are established:  </w:t>
      </w:r>
    </w:p>
    <w:p w:rsidR="00D86EF6" w:rsidRPr="00D87441" w:rsidRDefault="00D86EF6" w:rsidP="00D86EF6">
      <w:pPr>
        <w:jc w:val="both"/>
        <w:rPr>
          <w:lang w:val="en-GB"/>
        </w:rPr>
      </w:pPr>
      <w:r w:rsidRPr="00D87441">
        <w:rPr>
          <w:lang w:val="en-GB"/>
        </w:rPr>
        <w:t>1.</w:t>
      </w:r>
      <w:r w:rsidR="001549CE" w:rsidRPr="00D87441">
        <w:rPr>
          <w:lang w:val="en-GB"/>
        </w:rPr>
        <w:t xml:space="preserve"> Improvement of institutional arrangements and governance based on a new </w:t>
      </w:r>
      <w:r w:rsidR="00EC49BE" w:rsidRPr="00D87441">
        <w:rPr>
          <w:lang w:val="en-GB"/>
        </w:rPr>
        <w:t xml:space="preserve">IUCN natural resource </w:t>
      </w:r>
      <w:r w:rsidR="001549CE" w:rsidRPr="00D87441">
        <w:rPr>
          <w:lang w:val="en-GB"/>
        </w:rPr>
        <w:t>governance framework</w:t>
      </w:r>
      <w:r w:rsidR="00EC49BE" w:rsidRPr="00D87441">
        <w:rPr>
          <w:lang w:val="en-GB"/>
        </w:rPr>
        <w:t>;</w:t>
      </w:r>
    </w:p>
    <w:p w:rsidR="00D86EF6" w:rsidRPr="00D87441" w:rsidRDefault="00D86EF6" w:rsidP="00D86EF6">
      <w:pPr>
        <w:jc w:val="both"/>
        <w:rPr>
          <w:lang w:val="en-GB"/>
        </w:rPr>
      </w:pPr>
      <w:r w:rsidRPr="00D87441">
        <w:rPr>
          <w:lang w:val="en-GB"/>
        </w:rPr>
        <w:t xml:space="preserve">2. </w:t>
      </w:r>
      <w:r w:rsidR="00EC49BE" w:rsidRPr="00D87441">
        <w:rPr>
          <w:lang w:val="en-GB"/>
        </w:rPr>
        <w:t>Scope of protected areas managed in accordance with the IUCN natural resource governance framework;</w:t>
      </w:r>
    </w:p>
    <w:p w:rsidR="00EC49BE" w:rsidRPr="00D87441" w:rsidRDefault="00D86EF6" w:rsidP="00D86EF6">
      <w:pPr>
        <w:jc w:val="both"/>
        <w:rPr>
          <w:lang w:val="en-GB"/>
        </w:rPr>
      </w:pPr>
      <w:r w:rsidRPr="00D87441">
        <w:rPr>
          <w:lang w:val="en-GB"/>
        </w:rPr>
        <w:t xml:space="preserve">3. </w:t>
      </w:r>
      <w:r w:rsidR="00EC49BE" w:rsidRPr="00D87441">
        <w:rPr>
          <w:lang w:val="en-GB"/>
        </w:rPr>
        <w:t>Area in (in</w:t>
      </w:r>
      <w:r w:rsidRPr="00D87441">
        <w:rPr>
          <w:lang w:val="en-GB"/>
        </w:rPr>
        <w:t xml:space="preserve"> ha)</w:t>
      </w:r>
      <w:r w:rsidR="00EC49BE" w:rsidRPr="00D87441">
        <w:rPr>
          <w:lang w:val="en-GB"/>
        </w:rPr>
        <w:t xml:space="preserve"> of farmland, fisheries and forest exploitation managed </w:t>
      </w:r>
      <w:r w:rsidR="004A487B">
        <w:rPr>
          <w:lang w:val="en-GB"/>
        </w:rPr>
        <w:t xml:space="preserve">according to the </w:t>
      </w:r>
      <w:r w:rsidR="00EC49BE" w:rsidRPr="00D87441">
        <w:rPr>
          <w:lang w:val="en-GB"/>
        </w:rPr>
        <w:t>IUCN natural resource governance framework;</w:t>
      </w:r>
      <w:r w:rsidRPr="00D87441">
        <w:rPr>
          <w:lang w:val="en-GB"/>
        </w:rPr>
        <w:t xml:space="preserve"> </w:t>
      </w:r>
    </w:p>
    <w:p w:rsidR="00D86EF6" w:rsidRPr="00D87441" w:rsidRDefault="00D86EF6" w:rsidP="00D86EF6">
      <w:pPr>
        <w:jc w:val="both"/>
        <w:rPr>
          <w:lang w:val="en-GB"/>
        </w:rPr>
      </w:pPr>
      <w:r w:rsidRPr="00D87441">
        <w:rPr>
          <w:lang w:val="en-GB"/>
        </w:rPr>
        <w:t>4.</w:t>
      </w:r>
      <w:r w:rsidR="002E3561" w:rsidRPr="00D87441">
        <w:rPr>
          <w:lang w:val="en-GB"/>
        </w:rPr>
        <w:t xml:space="preserve"> Extent of open sea administered </w:t>
      </w:r>
      <w:r w:rsidR="004A487B">
        <w:rPr>
          <w:lang w:val="en-GB"/>
        </w:rPr>
        <w:t>according to</w:t>
      </w:r>
      <w:r w:rsidR="002E3561" w:rsidRPr="00D87441">
        <w:rPr>
          <w:lang w:val="en-GB"/>
        </w:rPr>
        <w:t xml:space="preserve"> the focus </w:t>
      </w:r>
      <w:r w:rsidR="004A487B">
        <w:rPr>
          <w:lang w:val="en-GB"/>
        </w:rPr>
        <w:t>by</w:t>
      </w:r>
      <w:r w:rsidR="002E3561" w:rsidRPr="00D87441">
        <w:rPr>
          <w:lang w:val="en-GB"/>
        </w:rPr>
        <w:t xml:space="preserve"> ecosystems and </w:t>
      </w:r>
      <w:r w:rsidR="004A487B">
        <w:rPr>
          <w:lang w:val="en-GB"/>
        </w:rPr>
        <w:t xml:space="preserve">the IUCN </w:t>
      </w:r>
      <w:r w:rsidR="002E3561" w:rsidRPr="00D87441">
        <w:rPr>
          <w:lang w:val="en-GB"/>
        </w:rPr>
        <w:t>natural resource governance framework</w:t>
      </w:r>
      <w:r w:rsidRPr="00D87441">
        <w:rPr>
          <w:lang w:val="en-GB"/>
        </w:rPr>
        <w:t>.</w:t>
      </w:r>
    </w:p>
    <w:p w:rsidR="006C6589" w:rsidRPr="00D87441" w:rsidRDefault="002E3561" w:rsidP="006C6589">
      <w:pPr>
        <w:jc w:val="both"/>
        <w:rPr>
          <w:lang w:val="en-GB"/>
        </w:rPr>
      </w:pPr>
      <w:r w:rsidRPr="00D87441">
        <w:rPr>
          <w:lang w:val="en-GB"/>
        </w:rPr>
        <w:t>The overall result for this area is: better natural resource</w:t>
      </w:r>
      <w:r w:rsidR="004A487B">
        <w:rPr>
          <w:lang w:val="en-GB"/>
        </w:rPr>
        <w:t xml:space="preserve"> governance arrangements </w:t>
      </w:r>
      <w:r w:rsidRPr="00D87441">
        <w:rPr>
          <w:lang w:val="en-GB"/>
        </w:rPr>
        <w:t>lead to equitable conservation based on rights, with tangible benefits for means of subsistence.</w:t>
      </w:r>
    </w:p>
    <w:p w:rsidR="002E3561" w:rsidRPr="00D87441" w:rsidRDefault="002E3561" w:rsidP="006C6589">
      <w:pPr>
        <w:jc w:val="both"/>
        <w:rPr>
          <w:lang w:val="en-GB"/>
        </w:rPr>
      </w:pPr>
      <w:r w:rsidRPr="00D87441">
        <w:rPr>
          <w:lang w:val="en-GB"/>
        </w:rPr>
        <w:t xml:space="preserve">On the other hand, four programmatic priorities were identified to support the three Programme Areas, the third of which concerns efforts to </w:t>
      </w:r>
      <w:r w:rsidR="004A487B">
        <w:rPr>
          <w:lang w:val="en-GB"/>
        </w:rPr>
        <w:t>enhance</w:t>
      </w:r>
      <w:r w:rsidRPr="00D87441">
        <w:rPr>
          <w:lang w:val="en-GB"/>
        </w:rPr>
        <w:t xml:space="preserve"> governance policies by capacity-building: responding to gender issues, biodiversity management and ecosystem services; environmental governance services and functions (conventions, </w:t>
      </w:r>
      <w:r w:rsidR="008F49C2" w:rsidRPr="00D87441">
        <w:rPr>
          <w:lang w:val="en-GB"/>
        </w:rPr>
        <w:t>IPBES</w:t>
      </w:r>
      <w:r w:rsidRPr="00D87441">
        <w:rPr>
          <w:lang w:val="en-GB"/>
        </w:rPr>
        <w:t xml:space="preserve">, </w:t>
      </w:r>
      <w:r w:rsidR="008F49C2" w:rsidRPr="00D87441">
        <w:rPr>
          <w:lang w:val="en-GB"/>
        </w:rPr>
        <w:t>MEAs</w:t>
      </w:r>
      <w:r w:rsidRPr="00D87441">
        <w:rPr>
          <w:lang w:val="en-GB"/>
        </w:rPr>
        <w:t xml:space="preserve">, World Heritage, etc); and governments and </w:t>
      </w:r>
      <w:r w:rsidR="004A487B">
        <w:rPr>
          <w:lang w:val="en-GB"/>
        </w:rPr>
        <w:t>application</w:t>
      </w:r>
      <w:r w:rsidRPr="00D87441">
        <w:rPr>
          <w:lang w:val="en-GB"/>
        </w:rPr>
        <w:t xml:space="preserve"> (e.g. verification and certification). </w:t>
      </w:r>
      <w:r w:rsidR="004A487B">
        <w:rPr>
          <w:lang w:val="en-GB"/>
        </w:rPr>
        <w:t>The</w:t>
      </w:r>
      <w:r w:rsidRPr="00D87441">
        <w:rPr>
          <w:lang w:val="en-GB"/>
        </w:rPr>
        <w:t xml:space="preserve"> first area </w:t>
      </w:r>
      <w:r w:rsidR="004A487B">
        <w:rPr>
          <w:lang w:val="en-GB"/>
        </w:rPr>
        <w:t xml:space="preserve">likewise </w:t>
      </w:r>
      <w:r w:rsidRPr="00D87441">
        <w:rPr>
          <w:lang w:val="en-GB"/>
        </w:rPr>
        <w:t>concerns the provision of products of the IUCN’s knowledge and considers preparation of a framework for natural resource</w:t>
      </w:r>
      <w:r w:rsidR="004A487B">
        <w:rPr>
          <w:lang w:val="en-GB"/>
        </w:rPr>
        <w:t xml:space="preserve"> governance</w:t>
      </w:r>
      <w:r w:rsidRPr="00D87441">
        <w:rPr>
          <w:lang w:val="en-GB"/>
        </w:rPr>
        <w:t>.</w:t>
      </w:r>
    </w:p>
    <w:p w:rsidR="00D86EF6" w:rsidRPr="00D87441" w:rsidRDefault="00D86EF6" w:rsidP="006C6589">
      <w:pPr>
        <w:jc w:val="both"/>
        <w:rPr>
          <w:lang w:val="en-GB"/>
        </w:rPr>
      </w:pPr>
    </w:p>
    <w:p w:rsidR="002F0F8D" w:rsidRPr="00D87441" w:rsidRDefault="002F0F8D" w:rsidP="006C6589">
      <w:pPr>
        <w:jc w:val="both"/>
        <w:rPr>
          <w:lang w:val="en-GB"/>
        </w:rPr>
      </w:pPr>
    </w:p>
    <w:p w:rsidR="00647929" w:rsidRPr="00D87441" w:rsidRDefault="008F49C2" w:rsidP="00FA5639">
      <w:pPr>
        <w:jc w:val="center"/>
        <w:rPr>
          <w:b/>
          <w:smallCaps/>
          <w:color w:val="17365D" w:themeColor="text2" w:themeShade="BF"/>
          <w:sz w:val="28"/>
          <w:szCs w:val="28"/>
          <w:lang w:val="en-GB"/>
        </w:rPr>
      </w:pPr>
      <w:r w:rsidRPr="00D87441">
        <w:rPr>
          <w:b/>
          <w:smallCaps/>
          <w:color w:val="17365D" w:themeColor="text2" w:themeShade="BF"/>
          <w:sz w:val="28"/>
          <w:szCs w:val="28"/>
          <w:lang w:val="en-GB"/>
        </w:rPr>
        <w:t>Key resolutions and recommendations</w:t>
      </w:r>
    </w:p>
    <w:p w:rsidR="005B4BBF" w:rsidRPr="00D87441" w:rsidRDefault="008F49C2" w:rsidP="00154698">
      <w:pPr>
        <w:jc w:val="both"/>
        <w:rPr>
          <w:lang w:val="en-GB"/>
        </w:rPr>
      </w:pPr>
      <w:r w:rsidRPr="00D87441">
        <w:rPr>
          <w:lang w:val="en-GB"/>
        </w:rPr>
        <w:t>Natural resources governance has gained prominence in the IUCN’s system of motions (resolutions and recommendations), as can be seen in the following graph:</w:t>
      </w:r>
      <w:r w:rsidR="00D407F1" w:rsidRPr="00D87441">
        <w:rPr>
          <w:lang w:val="en-GB"/>
        </w:rPr>
        <w:t xml:space="preserve"> </w:t>
      </w:r>
    </w:p>
    <w:p w:rsidR="00D407F1" w:rsidRPr="00D87441" w:rsidRDefault="00D407F1" w:rsidP="00647929">
      <w:pPr>
        <w:jc w:val="both"/>
        <w:rPr>
          <w:lang w:val="en-GB"/>
        </w:rPr>
      </w:pPr>
      <w:r w:rsidRPr="00D87441">
        <w:rPr>
          <w:noProof/>
          <w:lang w:bidi="pa-IN"/>
        </w:rPr>
        <w:lastRenderedPageBreak/>
        <w:drawing>
          <wp:inline distT="0" distB="0" distL="0" distR="0">
            <wp:extent cx="5400040" cy="3116580"/>
            <wp:effectExtent l="0" t="0" r="10160" b="266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5F9B" w:rsidRPr="00D87441" w:rsidRDefault="008F49C2" w:rsidP="00647929">
      <w:pPr>
        <w:jc w:val="both"/>
        <w:rPr>
          <w:lang w:val="en-GB"/>
        </w:rPr>
      </w:pPr>
      <w:r w:rsidRPr="00D87441">
        <w:rPr>
          <w:lang w:val="en-GB"/>
        </w:rPr>
        <w:t xml:space="preserve">Once certain aspects of the aforementioned Bangkok Resolution 012 are dealt with (definition, principles, typology and focuses of governance), it is necessary to </w:t>
      </w:r>
      <w:r w:rsidR="00B55093">
        <w:rPr>
          <w:lang w:val="en-GB"/>
        </w:rPr>
        <w:t>continue</w:t>
      </w:r>
      <w:r w:rsidRPr="00D87441">
        <w:rPr>
          <w:lang w:val="en-GB"/>
        </w:rPr>
        <w:t xml:space="preserve"> efforts to make governance operational in the following aspects:</w:t>
      </w:r>
      <w:r w:rsidR="00047369" w:rsidRPr="00D87441">
        <w:rPr>
          <w:lang w:val="en-GB"/>
        </w:rPr>
        <w:t xml:space="preserve"> </w:t>
      </w:r>
    </w:p>
    <w:p w:rsidR="00945F9B" w:rsidRPr="00D87441" w:rsidRDefault="008F49C2" w:rsidP="00647929">
      <w:pPr>
        <w:jc w:val="both"/>
        <w:rPr>
          <w:lang w:val="en-GB"/>
        </w:rPr>
      </w:pPr>
      <w:r w:rsidRPr="00D87441">
        <w:rPr>
          <w:lang w:val="en-GB"/>
        </w:rPr>
        <w:t>Shared management</w:t>
      </w:r>
      <w:r w:rsidR="00B014D8" w:rsidRPr="00D87441">
        <w:rPr>
          <w:lang w:val="en-GB"/>
        </w:rPr>
        <w:t xml:space="preserve">: </w:t>
      </w:r>
    </w:p>
    <w:p w:rsidR="00945F9B" w:rsidRPr="00D87441" w:rsidRDefault="008F49C2" w:rsidP="00945F9B">
      <w:pPr>
        <w:pStyle w:val="Prrafodelista"/>
        <w:numPr>
          <w:ilvl w:val="0"/>
          <w:numId w:val="5"/>
        </w:numPr>
        <w:jc w:val="both"/>
        <w:rPr>
          <w:lang w:val="en-GB"/>
        </w:rPr>
      </w:pPr>
      <w:r w:rsidRPr="00D87441">
        <w:rPr>
          <w:lang w:val="en-GB"/>
        </w:rPr>
        <w:t>Biodiversity observation networks;</w:t>
      </w:r>
      <w:r w:rsidR="00945F9B" w:rsidRPr="00D87441">
        <w:rPr>
          <w:lang w:val="en-GB"/>
        </w:rPr>
        <w:t xml:space="preserve"> </w:t>
      </w:r>
    </w:p>
    <w:p w:rsidR="00221913" w:rsidRPr="00D87441" w:rsidRDefault="00476ACE" w:rsidP="00221913">
      <w:pPr>
        <w:pStyle w:val="Prrafodelista"/>
        <w:numPr>
          <w:ilvl w:val="0"/>
          <w:numId w:val="5"/>
        </w:numPr>
        <w:jc w:val="both"/>
        <w:rPr>
          <w:lang w:val="en-GB"/>
        </w:rPr>
      </w:pPr>
      <w:r w:rsidRPr="00D87441">
        <w:rPr>
          <w:lang w:val="en-GB"/>
        </w:rPr>
        <w:t>Private, public, community partnerships (PPCPs);</w:t>
      </w:r>
    </w:p>
    <w:p w:rsidR="00221913" w:rsidRPr="00D87441" w:rsidRDefault="000F1351" w:rsidP="00967897">
      <w:pPr>
        <w:pStyle w:val="Prrafodelista"/>
        <w:numPr>
          <w:ilvl w:val="0"/>
          <w:numId w:val="5"/>
        </w:numPr>
        <w:jc w:val="both"/>
        <w:rPr>
          <w:lang w:val="en-GB"/>
        </w:rPr>
      </w:pPr>
      <w:r w:rsidRPr="00D87441">
        <w:rPr>
          <w:lang w:val="en-GB"/>
        </w:rPr>
        <w:t>Biodiversity preservation and community management;</w:t>
      </w:r>
    </w:p>
    <w:p w:rsidR="000F1351" w:rsidRPr="00D87441" w:rsidRDefault="000F1351" w:rsidP="00967897">
      <w:pPr>
        <w:pStyle w:val="Prrafodelista"/>
        <w:numPr>
          <w:ilvl w:val="0"/>
          <w:numId w:val="5"/>
        </w:numPr>
        <w:jc w:val="both"/>
        <w:rPr>
          <w:lang w:val="en-GB"/>
        </w:rPr>
      </w:pPr>
      <w:r w:rsidRPr="00D87441">
        <w:rPr>
          <w:lang w:val="en-GB"/>
        </w:rPr>
        <w:t>Natural resources management by the community;</w:t>
      </w:r>
    </w:p>
    <w:p w:rsidR="00967897" w:rsidRPr="00D87441" w:rsidRDefault="000F1351" w:rsidP="00967897">
      <w:pPr>
        <w:pStyle w:val="Prrafodelista"/>
        <w:numPr>
          <w:ilvl w:val="0"/>
          <w:numId w:val="5"/>
        </w:numPr>
        <w:jc w:val="both"/>
        <w:rPr>
          <w:lang w:val="en-GB"/>
        </w:rPr>
      </w:pPr>
      <w:r w:rsidRPr="00D87441">
        <w:rPr>
          <w:lang w:val="en-GB"/>
        </w:rPr>
        <w:t>Community-based management systems;</w:t>
      </w:r>
      <w:r w:rsidR="00967897" w:rsidRPr="00D87441">
        <w:rPr>
          <w:lang w:val="en-GB"/>
        </w:rPr>
        <w:t xml:space="preserve"> </w:t>
      </w:r>
    </w:p>
    <w:p w:rsidR="000F1351" w:rsidRPr="00D87441" w:rsidRDefault="000F1351" w:rsidP="00967897">
      <w:pPr>
        <w:pStyle w:val="Prrafodelista"/>
        <w:numPr>
          <w:ilvl w:val="0"/>
          <w:numId w:val="5"/>
        </w:numPr>
        <w:jc w:val="both"/>
        <w:rPr>
          <w:lang w:val="en-GB"/>
        </w:rPr>
      </w:pPr>
      <w:r w:rsidRPr="00D87441">
        <w:rPr>
          <w:lang w:val="en-GB"/>
        </w:rPr>
        <w:t>Monitoring and co-management of freshwater and marine ecosystems;</w:t>
      </w:r>
    </w:p>
    <w:p w:rsidR="00967897" w:rsidRPr="00D87441" w:rsidRDefault="000F1351" w:rsidP="00967897">
      <w:pPr>
        <w:pStyle w:val="Prrafodelista"/>
        <w:numPr>
          <w:ilvl w:val="0"/>
          <w:numId w:val="5"/>
        </w:numPr>
        <w:jc w:val="both"/>
        <w:rPr>
          <w:lang w:val="en-GB"/>
        </w:rPr>
      </w:pPr>
      <w:r w:rsidRPr="00D87441">
        <w:rPr>
          <w:lang w:val="en-GB"/>
        </w:rPr>
        <w:t>Sustainable environmental management;</w:t>
      </w:r>
    </w:p>
    <w:p w:rsidR="000C39AC" w:rsidRPr="00D87441" w:rsidRDefault="000F1351" w:rsidP="000C39AC">
      <w:pPr>
        <w:pStyle w:val="Prrafodelista"/>
        <w:numPr>
          <w:ilvl w:val="0"/>
          <w:numId w:val="5"/>
        </w:numPr>
        <w:jc w:val="both"/>
        <w:rPr>
          <w:lang w:val="en-GB"/>
        </w:rPr>
      </w:pPr>
      <w:r w:rsidRPr="00D87441">
        <w:rPr>
          <w:lang w:val="en-GB"/>
        </w:rPr>
        <w:t>Integrated management of protected areas;</w:t>
      </w:r>
    </w:p>
    <w:p w:rsidR="000F1351" w:rsidRPr="00D87441" w:rsidRDefault="000F1351" w:rsidP="000C39AC">
      <w:pPr>
        <w:pStyle w:val="Prrafodelista"/>
        <w:numPr>
          <w:ilvl w:val="0"/>
          <w:numId w:val="5"/>
        </w:numPr>
        <w:jc w:val="both"/>
        <w:rPr>
          <w:lang w:val="en-GB"/>
        </w:rPr>
      </w:pPr>
      <w:r w:rsidRPr="00D87441">
        <w:rPr>
          <w:lang w:val="en-GB"/>
        </w:rPr>
        <w:t>Community planning and management of the territory;</w:t>
      </w:r>
    </w:p>
    <w:p w:rsidR="00B014D8" w:rsidRPr="00D87441" w:rsidRDefault="000F1351" w:rsidP="00B014D8">
      <w:pPr>
        <w:pStyle w:val="Prrafodelista"/>
        <w:numPr>
          <w:ilvl w:val="0"/>
          <w:numId w:val="5"/>
        </w:numPr>
        <w:jc w:val="both"/>
        <w:rPr>
          <w:lang w:val="en-GB"/>
        </w:rPr>
      </w:pPr>
      <w:r w:rsidRPr="00D87441">
        <w:rPr>
          <w:lang w:val="en-GB"/>
        </w:rPr>
        <w:t>Co-managed municipal conservation areas.</w:t>
      </w:r>
      <w:r w:rsidR="00B014D8" w:rsidRPr="00D87441">
        <w:rPr>
          <w:lang w:val="en-GB"/>
        </w:rPr>
        <w:t xml:space="preserve"> </w:t>
      </w:r>
    </w:p>
    <w:p w:rsidR="00945F9B" w:rsidRPr="00D87441" w:rsidRDefault="000F1351" w:rsidP="00647929">
      <w:pPr>
        <w:jc w:val="both"/>
        <w:rPr>
          <w:lang w:val="en-GB"/>
        </w:rPr>
      </w:pPr>
      <w:r w:rsidRPr="00D87441">
        <w:rPr>
          <w:lang w:val="en-GB"/>
        </w:rPr>
        <w:t>Participation, information and capacity-building</w:t>
      </w:r>
      <w:r w:rsidR="00221913" w:rsidRPr="00D87441">
        <w:rPr>
          <w:lang w:val="en-GB"/>
        </w:rPr>
        <w:t>:</w:t>
      </w:r>
    </w:p>
    <w:p w:rsidR="00362ED0" w:rsidRPr="00D87441" w:rsidRDefault="000F1351" w:rsidP="00362ED0">
      <w:pPr>
        <w:pStyle w:val="Prrafodelista"/>
        <w:numPr>
          <w:ilvl w:val="0"/>
          <w:numId w:val="5"/>
        </w:numPr>
        <w:jc w:val="both"/>
        <w:rPr>
          <w:lang w:val="en-GB"/>
        </w:rPr>
      </w:pPr>
      <w:r w:rsidRPr="00D87441">
        <w:rPr>
          <w:lang w:val="en-GB"/>
        </w:rPr>
        <w:t>Observatories with participative management;</w:t>
      </w:r>
    </w:p>
    <w:p w:rsidR="00362ED0" w:rsidRPr="00D87441" w:rsidRDefault="000F1351" w:rsidP="00362ED0">
      <w:pPr>
        <w:pStyle w:val="Prrafodelista"/>
        <w:numPr>
          <w:ilvl w:val="0"/>
          <w:numId w:val="5"/>
        </w:numPr>
        <w:jc w:val="both"/>
        <w:rPr>
          <w:lang w:val="en-GB"/>
        </w:rPr>
      </w:pPr>
      <w:r w:rsidRPr="00D87441">
        <w:rPr>
          <w:lang w:val="en-GB"/>
        </w:rPr>
        <w:t xml:space="preserve">Transparency and public access to information and participation by all </w:t>
      </w:r>
      <w:r w:rsidR="00B55093">
        <w:rPr>
          <w:lang w:val="en-GB"/>
        </w:rPr>
        <w:t>stakeholders</w:t>
      </w:r>
      <w:r w:rsidRPr="00D87441">
        <w:rPr>
          <w:lang w:val="en-GB"/>
        </w:rPr>
        <w:t>, especially the most vulnerable;</w:t>
      </w:r>
    </w:p>
    <w:p w:rsidR="00362ED0" w:rsidRPr="00D87441" w:rsidRDefault="000F1351" w:rsidP="00362ED0">
      <w:pPr>
        <w:pStyle w:val="Prrafodelista"/>
        <w:numPr>
          <w:ilvl w:val="0"/>
          <w:numId w:val="5"/>
        </w:numPr>
        <w:jc w:val="both"/>
        <w:rPr>
          <w:lang w:val="en-GB"/>
        </w:rPr>
      </w:pPr>
      <w:r w:rsidRPr="00D87441">
        <w:rPr>
          <w:lang w:val="en-GB"/>
        </w:rPr>
        <w:t>Creation of capacities (empowerment);</w:t>
      </w:r>
    </w:p>
    <w:p w:rsidR="00362ED0" w:rsidRPr="00D87441" w:rsidRDefault="000F1351" w:rsidP="00362ED0">
      <w:pPr>
        <w:pStyle w:val="Prrafodelista"/>
        <w:numPr>
          <w:ilvl w:val="0"/>
          <w:numId w:val="5"/>
        </w:numPr>
        <w:jc w:val="both"/>
        <w:rPr>
          <w:lang w:val="en-GB"/>
        </w:rPr>
      </w:pPr>
      <w:r w:rsidRPr="00D87441">
        <w:rPr>
          <w:lang w:val="en-GB"/>
        </w:rPr>
        <w:t>Good practices in governance management and dissemination and information about same;</w:t>
      </w:r>
    </w:p>
    <w:p w:rsidR="000F1351" w:rsidRPr="00D87441" w:rsidRDefault="000F1351" w:rsidP="00362ED0">
      <w:pPr>
        <w:pStyle w:val="Prrafodelista"/>
        <w:numPr>
          <w:ilvl w:val="0"/>
          <w:numId w:val="5"/>
        </w:numPr>
        <w:jc w:val="both"/>
        <w:rPr>
          <w:lang w:val="en-GB"/>
        </w:rPr>
      </w:pPr>
      <w:r w:rsidRPr="00D87441">
        <w:rPr>
          <w:lang w:val="en-GB"/>
        </w:rPr>
        <w:t>Governmental participation mechanisms;</w:t>
      </w:r>
    </w:p>
    <w:p w:rsidR="000F1351" w:rsidRPr="00D87441" w:rsidRDefault="000F1351" w:rsidP="00362ED0">
      <w:pPr>
        <w:pStyle w:val="Prrafodelista"/>
        <w:numPr>
          <w:ilvl w:val="0"/>
          <w:numId w:val="5"/>
        </w:numPr>
        <w:jc w:val="both"/>
        <w:rPr>
          <w:lang w:val="en-GB"/>
        </w:rPr>
      </w:pPr>
      <w:r w:rsidRPr="00D87441">
        <w:rPr>
          <w:lang w:val="en-GB"/>
        </w:rPr>
        <w:t>Access to justice in environmental matters;</w:t>
      </w:r>
    </w:p>
    <w:p w:rsidR="00362ED0" w:rsidRPr="00D87441" w:rsidRDefault="000F1351" w:rsidP="00B014D8">
      <w:pPr>
        <w:pStyle w:val="Prrafodelista"/>
        <w:numPr>
          <w:ilvl w:val="0"/>
          <w:numId w:val="5"/>
        </w:numPr>
        <w:jc w:val="both"/>
        <w:rPr>
          <w:lang w:val="en-GB"/>
        </w:rPr>
      </w:pPr>
      <w:r w:rsidRPr="00D87441">
        <w:rPr>
          <w:lang w:val="en-GB"/>
        </w:rPr>
        <w:t xml:space="preserve">Training of citizens’ advisory councils </w:t>
      </w:r>
      <w:r w:rsidR="00814631" w:rsidRPr="00D87441">
        <w:rPr>
          <w:lang w:val="en-GB"/>
        </w:rPr>
        <w:t xml:space="preserve">in </w:t>
      </w:r>
      <w:r w:rsidRPr="00D87441">
        <w:rPr>
          <w:lang w:val="en-GB"/>
        </w:rPr>
        <w:t>extracti</w:t>
      </w:r>
      <w:r w:rsidR="00B55093">
        <w:rPr>
          <w:lang w:val="en-GB"/>
        </w:rPr>
        <w:t>on</w:t>
      </w:r>
      <w:r w:rsidRPr="00D87441">
        <w:rPr>
          <w:lang w:val="en-GB"/>
        </w:rPr>
        <w:t xml:space="preserve"> industry projects</w:t>
      </w:r>
      <w:r w:rsidR="00814631" w:rsidRPr="00D87441">
        <w:rPr>
          <w:lang w:val="en-GB"/>
        </w:rPr>
        <w:t>, to enable informed public oversight.</w:t>
      </w:r>
      <w:r w:rsidR="00362ED0" w:rsidRPr="00D87441">
        <w:rPr>
          <w:lang w:val="en-GB"/>
        </w:rPr>
        <w:t xml:space="preserve"> </w:t>
      </w:r>
    </w:p>
    <w:p w:rsidR="00362ED0" w:rsidRPr="00D87441" w:rsidRDefault="00814631" w:rsidP="00362ED0">
      <w:pPr>
        <w:jc w:val="both"/>
        <w:rPr>
          <w:lang w:val="en-GB"/>
        </w:rPr>
      </w:pPr>
      <w:r w:rsidRPr="00D87441">
        <w:rPr>
          <w:lang w:val="en-GB"/>
        </w:rPr>
        <w:lastRenderedPageBreak/>
        <w:t>Gender issues</w:t>
      </w:r>
      <w:r w:rsidR="00362ED0" w:rsidRPr="00D87441">
        <w:rPr>
          <w:lang w:val="en-GB"/>
        </w:rPr>
        <w:t xml:space="preserve">: </w:t>
      </w:r>
    </w:p>
    <w:p w:rsidR="00814631" w:rsidRPr="00D87441" w:rsidRDefault="00814631" w:rsidP="00362ED0">
      <w:pPr>
        <w:pStyle w:val="Prrafodelista"/>
        <w:numPr>
          <w:ilvl w:val="0"/>
          <w:numId w:val="5"/>
        </w:numPr>
        <w:jc w:val="both"/>
        <w:rPr>
          <w:lang w:val="en-GB"/>
        </w:rPr>
      </w:pPr>
      <w:r w:rsidRPr="00D87441">
        <w:rPr>
          <w:lang w:val="en-GB"/>
        </w:rPr>
        <w:t>Equitable relations between women and men;</w:t>
      </w:r>
    </w:p>
    <w:p w:rsidR="00814631" w:rsidRPr="00D87441" w:rsidRDefault="00814631" w:rsidP="00362ED0">
      <w:pPr>
        <w:pStyle w:val="Prrafodelista"/>
        <w:numPr>
          <w:ilvl w:val="0"/>
          <w:numId w:val="5"/>
        </w:numPr>
        <w:jc w:val="both"/>
        <w:rPr>
          <w:lang w:val="en-GB"/>
        </w:rPr>
      </w:pPr>
      <w:r w:rsidRPr="00D87441">
        <w:rPr>
          <w:lang w:val="en-GB"/>
        </w:rPr>
        <w:t>Importance of women’s role in the conservation and management of natural resources and biodiversity;</w:t>
      </w:r>
    </w:p>
    <w:p w:rsidR="00362ED0" w:rsidRPr="00D87441" w:rsidRDefault="00814631" w:rsidP="00362ED0">
      <w:pPr>
        <w:pStyle w:val="Prrafodelista"/>
        <w:numPr>
          <w:ilvl w:val="0"/>
          <w:numId w:val="5"/>
        </w:numPr>
        <w:jc w:val="both"/>
        <w:rPr>
          <w:lang w:val="en-GB"/>
        </w:rPr>
      </w:pPr>
      <w:r w:rsidRPr="00D87441">
        <w:rPr>
          <w:lang w:val="en-GB"/>
        </w:rPr>
        <w:t>Inclusion of women in participation and decision-making.</w:t>
      </w:r>
      <w:r w:rsidR="00362ED0" w:rsidRPr="00D87441">
        <w:rPr>
          <w:lang w:val="en-GB"/>
        </w:rPr>
        <w:t xml:space="preserve"> </w:t>
      </w:r>
    </w:p>
    <w:p w:rsidR="00362ED0" w:rsidRPr="00D87441" w:rsidRDefault="00814631" w:rsidP="00362ED0">
      <w:pPr>
        <w:jc w:val="both"/>
        <w:rPr>
          <w:lang w:val="en-GB"/>
        </w:rPr>
      </w:pPr>
      <w:r w:rsidRPr="00D87441">
        <w:rPr>
          <w:lang w:val="en-GB"/>
        </w:rPr>
        <w:t>Ethnic groups and local communities:</w:t>
      </w:r>
      <w:r w:rsidR="00362ED0" w:rsidRPr="00D87441">
        <w:rPr>
          <w:lang w:val="en-GB"/>
        </w:rPr>
        <w:t xml:space="preserve"> </w:t>
      </w:r>
    </w:p>
    <w:p w:rsidR="004C1684" w:rsidRPr="00D87441" w:rsidRDefault="00814631" w:rsidP="00647929">
      <w:pPr>
        <w:pStyle w:val="Prrafodelista"/>
        <w:numPr>
          <w:ilvl w:val="0"/>
          <w:numId w:val="5"/>
        </w:numPr>
        <w:jc w:val="both"/>
        <w:rPr>
          <w:lang w:val="en-GB"/>
        </w:rPr>
      </w:pPr>
      <w:r w:rsidRPr="00D87441">
        <w:rPr>
          <w:lang w:val="en-GB"/>
        </w:rPr>
        <w:t>Territories and areas conserved by indigenous peoples and communities areas (ICCAs);</w:t>
      </w:r>
    </w:p>
    <w:p w:rsidR="007E76BF" w:rsidRPr="00D87441" w:rsidRDefault="00814631" w:rsidP="00647929">
      <w:pPr>
        <w:pStyle w:val="Prrafodelista"/>
        <w:numPr>
          <w:ilvl w:val="0"/>
          <w:numId w:val="5"/>
        </w:numPr>
        <w:jc w:val="both"/>
        <w:rPr>
          <w:lang w:val="en-GB"/>
        </w:rPr>
      </w:pPr>
      <w:r w:rsidRPr="00D87441">
        <w:rPr>
          <w:lang w:val="en-GB"/>
        </w:rPr>
        <w:t>Recognition of various ways of managing and conserving nature depending on the region of the planet: there is a direct relationship between cultural diversity and biodiversity.</w:t>
      </w:r>
    </w:p>
    <w:p w:rsidR="00B014D8" w:rsidRPr="00D87441" w:rsidRDefault="00814631" w:rsidP="00647929">
      <w:pPr>
        <w:jc w:val="both"/>
        <w:rPr>
          <w:lang w:val="en-GB"/>
        </w:rPr>
      </w:pPr>
      <w:r w:rsidRPr="00D87441">
        <w:rPr>
          <w:lang w:val="en-GB"/>
        </w:rPr>
        <w:t>Technical issues</w:t>
      </w:r>
      <w:r w:rsidR="00B014D8" w:rsidRPr="00D87441">
        <w:rPr>
          <w:lang w:val="en-GB"/>
        </w:rPr>
        <w:t xml:space="preserve">: </w:t>
      </w:r>
    </w:p>
    <w:p w:rsidR="00814631" w:rsidRPr="00D87441" w:rsidRDefault="00814631" w:rsidP="00647929">
      <w:pPr>
        <w:pStyle w:val="Prrafodelista"/>
        <w:numPr>
          <w:ilvl w:val="0"/>
          <w:numId w:val="5"/>
        </w:numPr>
        <w:jc w:val="both"/>
        <w:rPr>
          <w:lang w:val="en-GB"/>
        </w:rPr>
      </w:pPr>
      <w:r w:rsidRPr="00D87441">
        <w:rPr>
          <w:lang w:val="en-GB"/>
        </w:rPr>
        <w:t>Creation of governance indicators based on those established in the IUCN 2013-2016 Programme;</w:t>
      </w:r>
    </w:p>
    <w:p w:rsidR="00814631" w:rsidRPr="00D87441" w:rsidRDefault="00814631" w:rsidP="00647929">
      <w:pPr>
        <w:pStyle w:val="Prrafodelista"/>
        <w:numPr>
          <w:ilvl w:val="0"/>
          <w:numId w:val="5"/>
        </w:numPr>
        <w:jc w:val="both"/>
        <w:rPr>
          <w:lang w:val="en-GB"/>
        </w:rPr>
      </w:pPr>
      <w:r w:rsidRPr="00D87441">
        <w:rPr>
          <w:lang w:val="en-GB"/>
        </w:rPr>
        <w:t>Production of an action plan;</w:t>
      </w:r>
    </w:p>
    <w:p w:rsidR="00814631" w:rsidRPr="00D87441" w:rsidRDefault="00814631" w:rsidP="00647929">
      <w:pPr>
        <w:pStyle w:val="Prrafodelista"/>
        <w:numPr>
          <w:ilvl w:val="0"/>
          <w:numId w:val="5"/>
        </w:numPr>
        <w:jc w:val="both"/>
        <w:rPr>
          <w:lang w:val="en-GB"/>
        </w:rPr>
      </w:pPr>
      <w:r w:rsidRPr="00D87441">
        <w:rPr>
          <w:lang w:val="en-GB"/>
        </w:rPr>
        <w:t xml:space="preserve">Regional, national and local policies that </w:t>
      </w:r>
      <w:r w:rsidR="00B55093">
        <w:rPr>
          <w:lang w:val="en-GB"/>
        </w:rPr>
        <w:t>enhance</w:t>
      </w:r>
      <w:r w:rsidRPr="00D87441">
        <w:rPr>
          <w:lang w:val="en-GB"/>
        </w:rPr>
        <w:t xml:space="preserve"> natural resource governance;</w:t>
      </w:r>
    </w:p>
    <w:p w:rsidR="00814631" w:rsidRPr="00D87441" w:rsidRDefault="00814631" w:rsidP="00647929">
      <w:pPr>
        <w:pStyle w:val="Prrafodelista"/>
        <w:numPr>
          <w:ilvl w:val="0"/>
          <w:numId w:val="5"/>
        </w:numPr>
        <w:jc w:val="both"/>
        <w:rPr>
          <w:lang w:val="en-GB"/>
        </w:rPr>
      </w:pPr>
      <w:r w:rsidRPr="00D87441">
        <w:rPr>
          <w:lang w:val="en-GB"/>
        </w:rPr>
        <w:t>Creation of tools enabling participation in natural resource management;</w:t>
      </w:r>
    </w:p>
    <w:p w:rsidR="00E95410" w:rsidRPr="00D87441" w:rsidRDefault="00814631" w:rsidP="00647929">
      <w:pPr>
        <w:pStyle w:val="Prrafodelista"/>
        <w:numPr>
          <w:ilvl w:val="0"/>
          <w:numId w:val="5"/>
        </w:numPr>
        <w:jc w:val="both"/>
        <w:rPr>
          <w:lang w:val="en-GB"/>
        </w:rPr>
      </w:pPr>
      <w:r w:rsidRPr="00D87441">
        <w:rPr>
          <w:lang w:val="en-GB"/>
        </w:rPr>
        <w:t>Arrangement of a framework for natural resource governance as set out in the IUCN 2013-2016 Programme.</w:t>
      </w:r>
    </w:p>
    <w:p w:rsidR="00D407F1" w:rsidRPr="00D87441" w:rsidRDefault="00814631" w:rsidP="00647929">
      <w:pPr>
        <w:jc w:val="both"/>
        <w:rPr>
          <w:lang w:val="en-GB"/>
        </w:rPr>
      </w:pPr>
      <w:r w:rsidRPr="00D87441">
        <w:rPr>
          <w:lang w:val="en-GB"/>
        </w:rPr>
        <w:t>We highlight th</w:t>
      </w:r>
      <w:r w:rsidR="00B55093">
        <w:rPr>
          <w:lang w:val="en-GB"/>
        </w:rPr>
        <w:t xml:space="preserve">e following </w:t>
      </w:r>
      <w:r w:rsidRPr="00D87441">
        <w:rPr>
          <w:lang w:val="en-GB"/>
        </w:rPr>
        <w:t>selection of motions</w:t>
      </w:r>
      <w:r w:rsidR="00B911FC" w:rsidRPr="00D87441">
        <w:rPr>
          <w:lang w:val="en-GB"/>
        </w:rPr>
        <w:t>:</w:t>
      </w:r>
      <w:r w:rsidR="00B911FC" w:rsidRPr="00D87441">
        <w:rPr>
          <w:rStyle w:val="Refdenotaalpie"/>
          <w:lang w:val="en-GB"/>
        </w:rPr>
        <w:footnoteReference w:id="7"/>
      </w:r>
      <w:r w:rsidR="00BA74A8" w:rsidRPr="00D87441">
        <w:rPr>
          <w:lang w:val="en-GB"/>
        </w:rPr>
        <w:t xml:space="preserve"> </w:t>
      </w:r>
    </w:p>
    <w:tbl>
      <w:tblPr>
        <w:tblStyle w:val="Cuadrculaclara-nfasis1"/>
        <w:tblW w:w="8520" w:type="dxa"/>
        <w:tblLook w:val="04A0"/>
      </w:tblPr>
      <w:tblGrid>
        <w:gridCol w:w="1140"/>
        <w:gridCol w:w="1720"/>
        <w:gridCol w:w="2493"/>
        <w:gridCol w:w="3167"/>
      </w:tblGrid>
      <w:tr w:rsidR="00945F9B" w:rsidRPr="00D87441" w:rsidTr="00047369">
        <w:trPr>
          <w:cnfStyle w:val="100000000000"/>
          <w:trHeight w:val="300"/>
        </w:trPr>
        <w:tc>
          <w:tcPr>
            <w:cnfStyle w:val="001000000000"/>
            <w:tcW w:w="1140" w:type="dxa"/>
            <w:hideMark/>
          </w:tcPr>
          <w:p w:rsidR="00945F9B" w:rsidRPr="00D87441" w:rsidRDefault="00945F9B" w:rsidP="00814631">
            <w:pPr>
              <w:jc w:val="center"/>
              <w:rPr>
                <w:rFonts w:asciiTheme="minorHAnsi" w:eastAsia="Times New Roman" w:hAnsiTheme="minorHAnsi" w:cs="Times New Roman"/>
                <w:b w:val="0"/>
                <w:bCs w:val="0"/>
                <w:lang w:val="en-GB"/>
              </w:rPr>
            </w:pPr>
            <w:r w:rsidRPr="00D87441">
              <w:rPr>
                <w:rFonts w:asciiTheme="minorHAnsi" w:eastAsia="Times New Roman" w:hAnsiTheme="minorHAnsi" w:cs="Times New Roman"/>
                <w:lang w:val="en-GB"/>
              </w:rPr>
              <w:t>Congre</w:t>
            </w:r>
            <w:r w:rsidR="00814631" w:rsidRPr="00D87441">
              <w:rPr>
                <w:rFonts w:asciiTheme="minorHAnsi" w:eastAsia="Times New Roman" w:hAnsiTheme="minorHAnsi" w:cs="Times New Roman"/>
                <w:lang w:val="en-GB"/>
              </w:rPr>
              <w:t>ss</w:t>
            </w:r>
          </w:p>
        </w:tc>
        <w:tc>
          <w:tcPr>
            <w:tcW w:w="1720" w:type="dxa"/>
            <w:hideMark/>
          </w:tcPr>
          <w:p w:rsidR="00945F9B" w:rsidRPr="00D87441" w:rsidRDefault="00945F9B" w:rsidP="00945F9B">
            <w:pPr>
              <w:jc w:val="center"/>
              <w:cnfStyle w:val="100000000000"/>
              <w:rPr>
                <w:rFonts w:asciiTheme="minorHAnsi" w:eastAsia="Times New Roman" w:hAnsiTheme="minorHAnsi" w:cs="Times New Roman"/>
                <w:b w:val="0"/>
                <w:bCs w:val="0"/>
                <w:lang w:val="en-GB"/>
              </w:rPr>
            </w:pPr>
            <w:r w:rsidRPr="00D87441">
              <w:rPr>
                <w:rFonts w:asciiTheme="minorHAnsi" w:eastAsia="Times New Roman" w:hAnsiTheme="minorHAnsi" w:cs="Times New Roman"/>
                <w:lang w:val="en-GB"/>
              </w:rPr>
              <w:t>R&amp;R</w:t>
            </w:r>
          </w:p>
        </w:tc>
        <w:tc>
          <w:tcPr>
            <w:tcW w:w="2493" w:type="dxa"/>
            <w:hideMark/>
          </w:tcPr>
          <w:p w:rsidR="00945F9B" w:rsidRPr="00D87441" w:rsidRDefault="00945F9B" w:rsidP="00814631">
            <w:pPr>
              <w:jc w:val="center"/>
              <w:cnfStyle w:val="100000000000"/>
              <w:rPr>
                <w:rFonts w:asciiTheme="minorHAnsi" w:eastAsia="Times New Roman" w:hAnsiTheme="minorHAnsi" w:cs="Times New Roman"/>
                <w:b w:val="0"/>
                <w:bCs w:val="0"/>
                <w:lang w:val="en-GB"/>
              </w:rPr>
            </w:pPr>
            <w:r w:rsidRPr="00D87441">
              <w:rPr>
                <w:rFonts w:asciiTheme="minorHAnsi" w:eastAsia="Times New Roman" w:hAnsiTheme="minorHAnsi" w:cs="Times New Roman"/>
                <w:lang w:val="en-GB"/>
              </w:rPr>
              <w:t>T</w:t>
            </w:r>
            <w:r w:rsidR="00814631" w:rsidRPr="00D87441">
              <w:rPr>
                <w:rFonts w:asciiTheme="minorHAnsi" w:eastAsia="Times New Roman" w:hAnsiTheme="minorHAnsi" w:cs="Times New Roman"/>
                <w:lang w:val="en-GB"/>
              </w:rPr>
              <w:t>itle</w:t>
            </w:r>
          </w:p>
        </w:tc>
        <w:tc>
          <w:tcPr>
            <w:tcW w:w="3167" w:type="dxa"/>
            <w:noWrap/>
            <w:hideMark/>
          </w:tcPr>
          <w:p w:rsidR="00945F9B" w:rsidRPr="00D87441" w:rsidRDefault="00945F9B" w:rsidP="00814631">
            <w:pPr>
              <w:jc w:val="center"/>
              <w:cnfStyle w:val="100000000000"/>
              <w:rPr>
                <w:rFonts w:asciiTheme="minorHAnsi" w:eastAsia="Times New Roman" w:hAnsiTheme="minorHAnsi" w:cs="Times New Roman"/>
                <w:b w:val="0"/>
                <w:bCs w:val="0"/>
                <w:lang w:val="en-GB"/>
              </w:rPr>
            </w:pPr>
            <w:r w:rsidRPr="00D87441">
              <w:rPr>
                <w:rFonts w:asciiTheme="minorHAnsi" w:eastAsia="Times New Roman" w:hAnsiTheme="minorHAnsi" w:cs="Times New Roman"/>
                <w:lang w:val="en-GB"/>
              </w:rPr>
              <w:t>Conten</w:t>
            </w:r>
            <w:r w:rsidR="00814631" w:rsidRPr="00D87441">
              <w:rPr>
                <w:rFonts w:asciiTheme="minorHAnsi" w:eastAsia="Times New Roman" w:hAnsiTheme="minorHAnsi" w:cs="Times New Roman"/>
                <w:lang w:val="en-GB"/>
              </w:rPr>
              <w:t>t</w:t>
            </w:r>
          </w:p>
        </w:tc>
      </w:tr>
      <w:tr w:rsidR="00650065" w:rsidRPr="00D87441" w:rsidTr="00047369">
        <w:trPr>
          <w:cnfStyle w:val="000000100000"/>
          <w:trHeight w:val="1949"/>
        </w:trPr>
        <w:tc>
          <w:tcPr>
            <w:cnfStyle w:val="001000000000"/>
            <w:tcW w:w="1140" w:type="dxa"/>
            <w:noWrap/>
            <w:vAlign w:val="center"/>
            <w:hideMark/>
          </w:tcPr>
          <w:p w:rsidR="00945F9B" w:rsidRPr="00D87441" w:rsidRDefault="00650065" w:rsidP="00650065">
            <w:pPr>
              <w:jc w:val="center"/>
              <w:rPr>
                <w:rFonts w:asciiTheme="minorHAnsi" w:eastAsia="Times New Roman" w:hAnsiTheme="minorHAnsi" w:cs="Times New Roman"/>
                <w:color w:val="000000"/>
                <w:lang w:val="en-GB"/>
              </w:rPr>
            </w:pPr>
            <w:proofErr w:type="spellStart"/>
            <w:r w:rsidRPr="00D87441">
              <w:rPr>
                <w:rFonts w:asciiTheme="minorHAnsi" w:eastAsia="Times New Roman" w:hAnsiTheme="minorHAnsi" w:cs="Times New Roman"/>
                <w:color w:val="000000"/>
                <w:lang w:val="en-GB"/>
              </w:rPr>
              <w:t>Jeju</w:t>
            </w:r>
            <w:proofErr w:type="spellEnd"/>
          </w:p>
        </w:tc>
        <w:tc>
          <w:tcPr>
            <w:tcW w:w="1720" w:type="dxa"/>
            <w:noWrap/>
            <w:vAlign w:val="center"/>
            <w:hideMark/>
          </w:tcPr>
          <w:p w:rsidR="00945F9B" w:rsidRPr="00D87441" w:rsidRDefault="00814631" w:rsidP="00650065">
            <w:pPr>
              <w:jc w:val="center"/>
              <w:cnfStyle w:val="00000010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123</w:t>
            </w:r>
          </w:p>
        </w:tc>
        <w:tc>
          <w:tcPr>
            <w:tcW w:w="2493" w:type="dxa"/>
            <w:vAlign w:val="center"/>
            <w:hideMark/>
          </w:tcPr>
          <w:p w:rsidR="00476ACE" w:rsidRPr="00D87441" w:rsidRDefault="00476ACE" w:rsidP="00476ACE">
            <w:pPr>
              <w:pStyle w:val="Default"/>
              <w:cnfStyle w:val="000000100000"/>
              <w:rPr>
                <w:lang w:val="en-GB"/>
              </w:rPr>
            </w:pPr>
          </w:p>
          <w:p w:rsidR="00945F9B" w:rsidRPr="00D87441" w:rsidRDefault="00476ACE" w:rsidP="00476ACE">
            <w:pPr>
              <w:jc w:val="center"/>
              <w:cnfStyle w:val="000000100000"/>
              <w:rPr>
                <w:rFonts w:eastAsia="Times New Roman" w:cs="Times New Roman"/>
                <w:color w:val="000000"/>
                <w:lang w:val="en-GB"/>
              </w:rPr>
            </w:pPr>
            <w:r w:rsidRPr="00D87441">
              <w:rPr>
                <w:lang w:val="en-GB"/>
              </w:rPr>
              <w:t xml:space="preserve"> Advocating Private, Public, Community Partnerships (PPCPs) for sustainable development</w:t>
            </w:r>
          </w:p>
        </w:tc>
        <w:tc>
          <w:tcPr>
            <w:tcW w:w="3167" w:type="dxa"/>
            <w:hideMark/>
          </w:tcPr>
          <w:p w:rsidR="00476ACE" w:rsidRPr="00D87441" w:rsidRDefault="00476ACE" w:rsidP="00476ACE">
            <w:pPr>
              <w:pStyle w:val="Default"/>
              <w:cnfStyle w:val="000000100000"/>
              <w:rPr>
                <w:rFonts w:asciiTheme="minorHAnsi" w:hAnsiTheme="minorHAnsi"/>
                <w:sz w:val="22"/>
                <w:szCs w:val="22"/>
                <w:lang w:val="en-GB"/>
              </w:rPr>
            </w:pPr>
            <w:r w:rsidRPr="00D87441">
              <w:rPr>
                <w:rFonts w:asciiTheme="minorHAnsi" w:hAnsiTheme="minorHAnsi"/>
                <w:sz w:val="22"/>
                <w:szCs w:val="22"/>
                <w:lang w:val="en-GB"/>
              </w:rPr>
              <w:t xml:space="preserve">When implementing the IUCN Programme 2013–2016 to consider new and inclusive approaches that include local communities so as to achieve sustainable development; </w:t>
            </w:r>
          </w:p>
          <w:p w:rsidR="00945F9B" w:rsidRPr="00D87441" w:rsidRDefault="00476ACE" w:rsidP="00476ACE">
            <w:pPr>
              <w:pStyle w:val="Default"/>
              <w:cnfStyle w:val="000000100000"/>
              <w:rPr>
                <w:rFonts w:eastAsia="Times New Roman" w:cs="Times New Roman"/>
                <w:lang w:val="en-GB"/>
              </w:rPr>
            </w:pPr>
            <w:proofErr w:type="gramStart"/>
            <w:r w:rsidRPr="00D87441">
              <w:rPr>
                <w:rFonts w:asciiTheme="minorHAnsi" w:hAnsiTheme="minorHAnsi"/>
                <w:sz w:val="22"/>
                <w:szCs w:val="22"/>
                <w:lang w:val="en-GB"/>
              </w:rPr>
              <w:t>private</w:t>
            </w:r>
            <w:proofErr w:type="gramEnd"/>
            <w:r w:rsidRPr="00D87441">
              <w:rPr>
                <w:rFonts w:asciiTheme="minorHAnsi" w:hAnsiTheme="minorHAnsi"/>
                <w:sz w:val="22"/>
                <w:szCs w:val="22"/>
                <w:lang w:val="en-GB"/>
              </w:rPr>
              <w:t>, public, community partnerships (PPCPs) and capacity-building as a major component of the innovative PPCP approach</w:t>
            </w:r>
            <w:r w:rsidR="00945F9B" w:rsidRPr="00D87441">
              <w:rPr>
                <w:rFonts w:eastAsia="Times New Roman" w:cs="Times New Roman"/>
                <w:bCs/>
                <w:lang w:val="en-GB"/>
              </w:rPr>
              <w:t>.</w:t>
            </w:r>
          </w:p>
        </w:tc>
      </w:tr>
      <w:tr w:rsidR="00945F9B" w:rsidRPr="00D87441" w:rsidTr="00047369">
        <w:trPr>
          <w:cnfStyle w:val="000000010000"/>
          <w:trHeight w:val="4995"/>
        </w:trPr>
        <w:tc>
          <w:tcPr>
            <w:cnfStyle w:val="001000000000"/>
            <w:tcW w:w="1140" w:type="dxa"/>
            <w:noWrap/>
            <w:vAlign w:val="center"/>
            <w:hideMark/>
          </w:tcPr>
          <w:p w:rsidR="00650065" w:rsidRPr="00D87441" w:rsidRDefault="00945F9B" w:rsidP="00650065">
            <w:pPr>
              <w:jc w:val="center"/>
              <w:rPr>
                <w:rFonts w:asciiTheme="minorHAnsi" w:eastAsia="Times New Roman" w:hAnsiTheme="minorHAnsi" w:cs="Times New Roman"/>
                <w:color w:val="000000"/>
                <w:lang w:val="en-GB"/>
              </w:rPr>
            </w:pPr>
            <w:proofErr w:type="spellStart"/>
            <w:r w:rsidRPr="00D87441">
              <w:rPr>
                <w:rFonts w:asciiTheme="minorHAnsi" w:eastAsia="Times New Roman" w:hAnsiTheme="minorHAnsi" w:cs="Times New Roman"/>
                <w:color w:val="000000"/>
                <w:lang w:val="en-GB"/>
              </w:rPr>
              <w:lastRenderedPageBreak/>
              <w:t>Jeju</w:t>
            </w:r>
            <w:proofErr w:type="spellEnd"/>
          </w:p>
        </w:tc>
        <w:tc>
          <w:tcPr>
            <w:tcW w:w="1720" w:type="dxa"/>
            <w:noWrap/>
            <w:vAlign w:val="center"/>
            <w:hideMark/>
          </w:tcPr>
          <w:p w:rsidR="00945F9B" w:rsidRPr="00D87441" w:rsidRDefault="00814631" w:rsidP="00650065">
            <w:pPr>
              <w:jc w:val="center"/>
              <w:cnfStyle w:val="00000001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093</w:t>
            </w:r>
          </w:p>
        </w:tc>
        <w:tc>
          <w:tcPr>
            <w:tcW w:w="2493" w:type="dxa"/>
            <w:vAlign w:val="center"/>
            <w:hideMark/>
          </w:tcPr>
          <w:p w:rsidR="00BF51CD" w:rsidRPr="00D87441" w:rsidRDefault="00BF51CD" w:rsidP="00BF51CD">
            <w:pPr>
              <w:pStyle w:val="Default"/>
              <w:cnfStyle w:val="000000010000"/>
              <w:rPr>
                <w:lang w:val="en-GB"/>
              </w:rPr>
            </w:pPr>
          </w:p>
          <w:p w:rsidR="00945F9B" w:rsidRPr="00D87441" w:rsidRDefault="00BF51CD" w:rsidP="00BF51CD">
            <w:pPr>
              <w:jc w:val="center"/>
              <w:cnfStyle w:val="000000010000"/>
              <w:rPr>
                <w:rFonts w:eastAsia="Times New Roman" w:cs="Times New Roman"/>
                <w:color w:val="000000"/>
                <w:lang w:val="en-GB"/>
              </w:rPr>
            </w:pPr>
            <w:r w:rsidRPr="00D87441">
              <w:rPr>
                <w:lang w:val="en-GB"/>
              </w:rPr>
              <w:t xml:space="preserve"> Priorit</w:t>
            </w:r>
            <w:r w:rsidR="00DD3565">
              <w:rPr>
                <w:lang w:val="en-GB"/>
              </w:rPr>
              <w:t>isi</w:t>
            </w:r>
            <w:r w:rsidRPr="00D87441">
              <w:rPr>
                <w:lang w:val="en-GB"/>
              </w:rPr>
              <w:t>ng community-based natural resource management for social and ecological resilience</w:t>
            </w:r>
          </w:p>
        </w:tc>
        <w:tc>
          <w:tcPr>
            <w:tcW w:w="3167" w:type="dxa"/>
            <w:hideMark/>
          </w:tcPr>
          <w:p w:rsidR="00BF51CD" w:rsidRPr="00D87441" w:rsidRDefault="00BF51CD" w:rsidP="00BF51CD">
            <w:pPr>
              <w:pStyle w:val="Default"/>
              <w:cnfStyle w:val="000000010000"/>
              <w:rPr>
                <w:rFonts w:asciiTheme="minorHAnsi" w:hAnsiTheme="minorHAnsi"/>
                <w:sz w:val="22"/>
                <w:szCs w:val="22"/>
                <w:lang w:val="en-GB"/>
              </w:rPr>
            </w:pPr>
            <w:r w:rsidRPr="00D87441">
              <w:rPr>
                <w:rFonts w:asciiTheme="minorHAnsi" w:hAnsiTheme="minorHAnsi"/>
                <w:sz w:val="22"/>
                <w:szCs w:val="22"/>
                <w:lang w:val="en-GB"/>
              </w:rPr>
              <w:t xml:space="preserve">To recognise and promote the rights of communities to exercise self-determination in the formulation of policies and projects affecting their environment and security; </w:t>
            </w:r>
          </w:p>
          <w:p w:rsidR="00BF51CD" w:rsidRPr="00D87441" w:rsidRDefault="00BF51CD" w:rsidP="00BF51CD">
            <w:pPr>
              <w:pStyle w:val="Default"/>
              <w:cnfStyle w:val="000000010000"/>
              <w:rPr>
                <w:rFonts w:asciiTheme="minorHAnsi" w:hAnsiTheme="minorHAnsi"/>
                <w:sz w:val="22"/>
                <w:szCs w:val="22"/>
                <w:lang w:val="en-GB"/>
              </w:rPr>
            </w:pPr>
            <w:r w:rsidRPr="00D87441">
              <w:rPr>
                <w:rFonts w:asciiTheme="minorHAnsi" w:hAnsiTheme="minorHAnsi"/>
                <w:sz w:val="22"/>
                <w:szCs w:val="22"/>
                <w:lang w:val="en-GB"/>
              </w:rPr>
              <w:t>priorit</w:t>
            </w:r>
            <w:r w:rsidR="00DD3565">
              <w:rPr>
                <w:rFonts w:asciiTheme="minorHAnsi" w:hAnsiTheme="minorHAnsi"/>
                <w:sz w:val="22"/>
                <w:szCs w:val="22"/>
                <w:lang w:val="en-GB"/>
              </w:rPr>
              <w:t>ise</w:t>
            </w:r>
            <w:r w:rsidRPr="00D87441">
              <w:rPr>
                <w:rFonts w:asciiTheme="minorHAnsi" w:hAnsiTheme="minorHAnsi"/>
                <w:sz w:val="22"/>
                <w:szCs w:val="22"/>
                <w:lang w:val="en-GB"/>
              </w:rPr>
              <w:t xml:space="preserve"> and promote community-based approaches; </w:t>
            </w:r>
          </w:p>
          <w:p w:rsidR="00BF51CD" w:rsidRPr="00D87441" w:rsidRDefault="00BF51CD" w:rsidP="00BF51CD">
            <w:pPr>
              <w:pStyle w:val="Default"/>
              <w:cnfStyle w:val="000000010000"/>
              <w:rPr>
                <w:rFonts w:asciiTheme="minorHAnsi" w:hAnsiTheme="minorHAnsi"/>
                <w:sz w:val="22"/>
                <w:szCs w:val="22"/>
                <w:lang w:val="en-GB"/>
              </w:rPr>
            </w:pPr>
            <w:r w:rsidRPr="00D87441">
              <w:rPr>
                <w:rFonts w:asciiTheme="minorHAnsi" w:hAnsiTheme="minorHAnsi"/>
                <w:sz w:val="22"/>
                <w:szCs w:val="22"/>
                <w:lang w:val="en-GB"/>
              </w:rPr>
              <w:t xml:space="preserve">support community governance frameworks; and </w:t>
            </w:r>
          </w:p>
          <w:p w:rsidR="00945F9B" w:rsidRPr="00D87441" w:rsidRDefault="00BF51CD" w:rsidP="00BF51CD">
            <w:pPr>
              <w:pStyle w:val="Default"/>
              <w:cnfStyle w:val="000000010000"/>
              <w:rPr>
                <w:rFonts w:eastAsia="Times New Roman" w:cs="Times New Roman"/>
                <w:lang w:val="en-GB"/>
              </w:rPr>
            </w:pPr>
            <w:proofErr w:type="gramStart"/>
            <w:r w:rsidRPr="00D87441">
              <w:rPr>
                <w:rFonts w:asciiTheme="minorHAnsi" w:hAnsiTheme="minorHAnsi"/>
                <w:sz w:val="22"/>
                <w:szCs w:val="22"/>
                <w:lang w:val="en-GB"/>
              </w:rPr>
              <w:t>identify</w:t>
            </w:r>
            <w:proofErr w:type="gramEnd"/>
            <w:r w:rsidRPr="00D87441">
              <w:rPr>
                <w:rFonts w:asciiTheme="minorHAnsi" w:hAnsiTheme="minorHAnsi"/>
                <w:sz w:val="22"/>
                <w:szCs w:val="22"/>
                <w:lang w:val="en-GB"/>
              </w:rPr>
              <w:t xml:space="preserve"> and support customary and traditional legal systems, legal and policy frameworks that can secure the rights of local people.</w:t>
            </w:r>
          </w:p>
        </w:tc>
      </w:tr>
      <w:tr w:rsidR="00650065" w:rsidRPr="00D87441" w:rsidTr="00047369">
        <w:trPr>
          <w:cnfStyle w:val="000000100000"/>
          <w:trHeight w:val="4384"/>
        </w:trPr>
        <w:tc>
          <w:tcPr>
            <w:cnfStyle w:val="001000000000"/>
            <w:tcW w:w="1140" w:type="dxa"/>
            <w:noWrap/>
            <w:vAlign w:val="center"/>
            <w:hideMark/>
          </w:tcPr>
          <w:p w:rsidR="00650065" w:rsidRPr="00D87441" w:rsidRDefault="00945F9B" w:rsidP="00650065">
            <w:pPr>
              <w:jc w:val="center"/>
              <w:rPr>
                <w:rFonts w:asciiTheme="minorHAnsi" w:eastAsia="Times New Roman" w:hAnsiTheme="minorHAnsi" w:cs="Times New Roman"/>
                <w:color w:val="000000"/>
                <w:lang w:val="en-GB"/>
              </w:rPr>
            </w:pPr>
            <w:proofErr w:type="spellStart"/>
            <w:r w:rsidRPr="00D87441">
              <w:rPr>
                <w:rFonts w:asciiTheme="minorHAnsi" w:eastAsia="Times New Roman" w:hAnsiTheme="minorHAnsi" w:cs="Times New Roman"/>
                <w:color w:val="000000"/>
                <w:lang w:val="en-GB"/>
              </w:rPr>
              <w:t>Jeju</w:t>
            </w:r>
            <w:proofErr w:type="spellEnd"/>
          </w:p>
        </w:tc>
        <w:tc>
          <w:tcPr>
            <w:tcW w:w="1720" w:type="dxa"/>
            <w:noWrap/>
            <w:vAlign w:val="center"/>
            <w:hideMark/>
          </w:tcPr>
          <w:p w:rsidR="00945F9B" w:rsidRPr="00D87441" w:rsidRDefault="00814631" w:rsidP="00650065">
            <w:pPr>
              <w:jc w:val="center"/>
              <w:cnfStyle w:val="00000010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092</w:t>
            </w:r>
          </w:p>
        </w:tc>
        <w:tc>
          <w:tcPr>
            <w:tcW w:w="2493" w:type="dxa"/>
            <w:vAlign w:val="center"/>
            <w:hideMark/>
          </w:tcPr>
          <w:p w:rsidR="00BF51CD" w:rsidRPr="00D87441" w:rsidRDefault="00BF51CD" w:rsidP="00BF51CD">
            <w:pPr>
              <w:pStyle w:val="Default"/>
              <w:cnfStyle w:val="000000100000"/>
              <w:rPr>
                <w:lang w:val="en-GB"/>
              </w:rPr>
            </w:pPr>
          </w:p>
          <w:p w:rsidR="00945F9B" w:rsidRPr="00D87441" w:rsidRDefault="00BF51CD" w:rsidP="00BF51CD">
            <w:pPr>
              <w:jc w:val="center"/>
              <w:cnfStyle w:val="000000100000"/>
              <w:rPr>
                <w:rFonts w:eastAsia="Times New Roman" w:cs="Times New Roman"/>
                <w:color w:val="000000"/>
                <w:lang w:val="en-GB"/>
              </w:rPr>
            </w:pPr>
            <w:r w:rsidRPr="00D87441">
              <w:rPr>
                <w:lang w:val="en-GB"/>
              </w:rPr>
              <w:t xml:space="preserve"> Promoting and supporting community resource management and conservation as a foundation for sustainable development</w:t>
            </w:r>
          </w:p>
        </w:tc>
        <w:tc>
          <w:tcPr>
            <w:tcW w:w="3167" w:type="dxa"/>
            <w:hideMark/>
          </w:tcPr>
          <w:p w:rsidR="003804B2" w:rsidRDefault="00B55093" w:rsidP="00BF51CD">
            <w:pPr>
              <w:autoSpaceDE w:val="0"/>
              <w:autoSpaceDN w:val="0"/>
              <w:adjustRightInd w:val="0"/>
              <w:cnfStyle w:val="000000100000"/>
              <w:rPr>
                <w:rFonts w:cs="Arial"/>
                <w:lang w:val="en-GB" w:bidi="pa-IN"/>
              </w:rPr>
            </w:pPr>
            <w:r>
              <w:rPr>
                <w:rFonts w:cs="Arial"/>
                <w:lang w:val="en-GB" w:bidi="pa-IN"/>
              </w:rPr>
              <w:t>A</w:t>
            </w:r>
            <w:r w:rsidR="00BF51CD" w:rsidRPr="00D87441">
              <w:rPr>
                <w:rFonts w:cs="Arial"/>
                <w:lang w:val="en-GB" w:bidi="pa-IN"/>
              </w:rPr>
              <w:t xml:space="preserve"> range of terms are in use when referring to conservation and</w:t>
            </w:r>
            <w:r>
              <w:rPr>
                <w:rFonts w:cs="Arial"/>
                <w:lang w:val="en-GB" w:bidi="pa-IN"/>
              </w:rPr>
              <w:t xml:space="preserve"> </w:t>
            </w:r>
            <w:r w:rsidR="00BF51CD" w:rsidRPr="00D87441">
              <w:rPr>
                <w:rFonts w:cs="Arial"/>
                <w:lang w:val="en-GB" w:bidi="pa-IN"/>
              </w:rPr>
              <w:t>sustainable development programmes carried out by local communities –</w:t>
            </w:r>
            <w:r>
              <w:rPr>
                <w:rFonts w:cs="Arial"/>
                <w:lang w:val="en-GB" w:bidi="pa-IN"/>
              </w:rPr>
              <w:t xml:space="preserve"> </w:t>
            </w:r>
            <w:r w:rsidR="00BF51CD" w:rsidRPr="00D87441">
              <w:rPr>
                <w:rFonts w:cs="Arial"/>
                <w:lang w:val="en-GB" w:bidi="pa-IN"/>
              </w:rPr>
              <w:t>‘community</w:t>
            </w:r>
            <w:r>
              <w:rPr>
                <w:rFonts w:cs="Arial"/>
                <w:lang w:val="en-GB" w:bidi="pa-IN"/>
              </w:rPr>
              <w:t xml:space="preserve"> </w:t>
            </w:r>
            <w:r w:rsidR="00BF51CD" w:rsidRPr="00D87441">
              <w:rPr>
                <w:rFonts w:cs="Arial"/>
                <w:lang w:val="en-GB" w:bidi="pa-IN"/>
              </w:rPr>
              <w:t>resource management’ (CRM) may be an appropriate generic description.</w:t>
            </w:r>
          </w:p>
          <w:p w:rsidR="00BF51CD" w:rsidRPr="00D87441" w:rsidRDefault="00BF51CD" w:rsidP="00BF51CD">
            <w:pPr>
              <w:autoSpaceDE w:val="0"/>
              <w:autoSpaceDN w:val="0"/>
              <w:adjustRightInd w:val="0"/>
              <w:cnfStyle w:val="000000100000"/>
              <w:rPr>
                <w:rFonts w:cs="Arial"/>
                <w:lang w:val="en-GB" w:bidi="pa-IN"/>
              </w:rPr>
            </w:pPr>
            <w:r w:rsidRPr="00D87441">
              <w:rPr>
                <w:rFonts w:cs="Arial"/>
                <w:lang w:val="en-GB" w:bidi="pa-IN"/>
              </w:rPr>
              <w:t>Good governance, appropriate legislation and even-handed</w:t>
            </w:r>
            <w:r w:rsidR="00F86368" w:rsidRPr="00D87441">
              <w:rPr>
                <w:rFonts w:cs="Arial"/>
                <w:lang w:val="en-GB" w:bidi="pa-IN"/>
              </w:rPr>
              <w:t xml:space="preserve"> </w:t>
            </w:r>
            <w:r w:rsidRPr="00D87441">
              <w:rPr>
                <w:rFonts w:cs="Arial"/>
                <w:lang w:val="en-GB" w:bidi="pa-IN"/>
              </w:rPr>
              <w:t>enforcement are essential to ensure that</w:t>
            </w:r>
            <w:r w:rsidR="00F86368" w:rsidRPr="00D87441">
              <w:rPr>
                <w:rFonts w:cs="Arial"/>
                <w:lang w:val="en-GB" w:bidi="pa-IN"/>
              </w:rPr>
              <w:t xml:space="preserve"> </w:t>
            </w:r>
            <w:r w:rsidRPr="00D87441">
              <w:rPr>
                <w:rFonts w:cs="Arial"/>
                <w:lang w:val="en-GB" w:bidi="pa-IN"/>
              </w:rPr>
              <w:t>community resource management programmes</w:t>
            </w:r>
          </w:p>
          <w:p w:rsidR="003804B2" w:rsidRDefault="00BF51CD" w:rsidP="00F86368">
            <w:pPr>
              <w:autoSpaceDE w:val="0"/>
              <w:autoSpaceDN w:val="0"/>
              <w:adjustRightInd w:val="0"/>
              <w:cnfStyle w:val="000000100000"/>
              <w:rPr>
                <w:rFonts w:cs="Arial"/>
                <w:lang w:val="en-GB" w:bidi="pa-IN"/>
              </w:rPr>
            </w:pPr>
            <w:proofErr w:type="gramStart"/>
            <w:r w:rsidRPr="00D87441">
              <w:rPr>
                <w:rFonts w:cs="Arial"/>
                <w:lang w:val="en-GB" w:bidi="pa-IN"/>
              </w:rPr>
              <w:t>prosper</w:t>
            </w:r>
            <w:proofErr w:type="gramEnd"/>
            <w:r w:rsidR="00F86368" w:rsidRPr="00D87441">
              <w:rPr>
                <w:rFonts w:cs="Arial"/>
                <w:lang w:val="en-GB" w:bidi="pa-IN"/>
              </w:rPr>
              <w:t>.</w:t>
            </w:r>
          </w:p>
          <w:p w:rsidR="00F86368" w:rsidRPr="00D87441" w:rsidRDefault="00F86368" w:rsidP="00F86368">
            <w:pPr>
              <w:autoSpaceDE w:val="0"/>
              <w:autoSpaceDN w:val="0"/>
              <w:adjustRightInd w:val="0"/>
              <w:cnfStyle w:val="000000100000"/>
              <w:rPr>
                <w:rFonts w:cs="Arial"/>
                <w:lang w:val="en-GB" w:bidi="pa-IN"/>
              </w:rPr>
            </w:pPr>
            <w:r w:rsidRPr="00D87441">
              <w:rPr>
                <w:rFonts w:cs="Arial"/>
                <w:lang w:val="en-GB" w:bidi="pa-IN"/>
              </w:rPr>
              <w:t>To facilitate and enhance a broad exchange of information amongst practitioners, relevant interest groups and international conservation and development organi</w:t>
            </w:r>
            <w:r w:rsidR="003804B2">
              <w:rPr>
                <w:rFonts w:cs="Arial"/>
                <w:lang w:val="en-GB" w:bidi="pa-IN"/>
              </w:rPr>
              <w:t>s</w:t>
            </w:r>
            <w:r w:rsidRPr="00D87441">
              <w:rPr>
                <w:rFonts w:cs="Arial"/>
                <w:lang w:val="en-GB" w:bidi="pa-IN"/>
              </w:rPr>
              <w:t>ations</w:t>
            </w:r>
            <w:r w:rsidR="00B81FC9" w:rsidRPr="00D87441">
              <w:rPr>
                <w:rFonts w:eastAsia="Times New Roman" w:cs="Times New Roman"/>
                <w:color w:val="000000"/>
                <w:lang w:val="en-GB"/>
              </w:rPr>
              <w:t>.</w:t>
            </w:r>
            <w:r w:rsidRPr="00D87441">
              <w:rPr>
                <w:rFonts w:eastAsia="Times New Roman" w:cs="Times New Roman"/>
                <w:color w:val="000000"/>
                <w:lang w:val="en-GB"/>
              </w:rPr>
              <w:t xml:space="preserve"> To </w:t>
            </w:r>
            <w:r w:rsidRPr="00D87441">
              <w:rPr>
                <w:rFonts w:cs="Arial"/>
                <w:lang w:val="en-GB" w:bidi="pa-IN"/>
              </w:rPr>
              <w:t>develop and implement broad policy coherence among multilateral environmental agreements and conservation organisations which would be beneficial to conservation of terrestrial biodiversity through community resource management programmes</w:t>
            </w:r>
            <w:r w:rsidR="00B81FC9" w:rsidRPr="00D87441">
              <w:rPr>
                <w:rFonts w:eastAsia="Times New Roman" w:cs="Times New Roman"/>
                <w:color w:val="000000"/>
                <w:lang w:val="en-GB"/>
              </w:rPr>
              <w:t xml:space="preserve">. </w:t>
            </w:r>
            <w:r w:rsidR="00B81FC9" w:rsidRPr="00D87441">
              <w:rPr>
                <w:rFonts w:eastAsia="Times New Roman" w:cs="Times New Roman"/>
                <w:color w:val="000000"/>
                <w:lang w:val="en-GB"/>
              </w:rPr>
              <w:br/>
            </w:r>
            <w:r w:rsidRPr="00D87441">
              <w:rPr>
                <w:rFonts w:ascii="Calibri" w:hAnsi="Calibri" w:cs="Arial"/>
                <w:lang w:val="en-GB" w:bidi="pa-IN"/>
              </w:rPr>
              <w:t>To recogni</w:t>
            </w:r>
            <w:r w:rsidR="003804B2">
              <w:rPr>
                <w:rFonts w:ascii="Calibri" w:hAnsi="Calibri" w:cs="Arial"/>
                <w:lang w:val="en-GB" w:bidi="pa-IN"/>
              </w:rPr>
              <w:t>s</w:t>
            </w:r>
            <w:r w:rsidRPr="00D87441">
              <w:rPr>
                <w:rFonts w:ascii="Calibri" w:hAnsi="Calibri" w:cs="Arial"/>
                <w:lang w:val="en-GB" w:bidi="pa-IN"/>
              </w:rPr>
              <w:t>e the various forms and names of community conservation present in West Asia and North Africa</w:t>
            </w:r>
            <w:r w:rsidR="00B81FC9" w:rsidRPr="00D87441">
              <w:rPr>
                <w:rFonts w:eastAsia="Times New Roman" w:cs="Times New Roman"/>
                <w:color w:val="000000"/>
                <w:lang w:val="en-GB"/>
              </w:rPr>
              <w:t xml:space="preserve">; </w:t>
            </w:r>
            <w:r w:rsidRPr="00D87441">
              <w:rPr>
                <w:rFonts w:eastAsia="Times New Roman" w:cs="Times New Roman"/>
                <w:color w:val="000000"/>
                <w:lang w:val="en-GB"/>
              </w:rPr>
              <w:t xml:space="preserve">and to </w:t>
            </w:r>
            <w:r w:rsidRPr="00D87441">
              <w:rPr>
                <w:rFonts w:cs="Arial"/>
                <w:lang w:val="en-GB" w:bidi="pa-IN"/>
              </w:rPr>
              <w:lastRenderedPageBreak/>
              <w:t>work together with IUCN Programmes and Commissions to revitalise community-based</w:t>
            </w:r>
          </w:p>
          <w:p w:rsidR="00945F9B" w:rsidRPr="00D87441" w:rsidRDefault="00F86368" w:rsidP="003804B2">
            <w:pPr>
              <w:autoSpaceDE w:val="0"/>
              <w:autoSpaceDN w:val="0"/>
              <w:adjustRightInd w:val="0"/>
              <w:cnfStyle w:val="000000100000"/>
              <w:rPr>
                <w:rFonts w:eastAsia="Times New Roman" w:cs="Times New Roman"/>
                <w:color w:val="000000"/>
                <w:lang w:val="en-GB"/>
              </w:rPr>
            </w:pPr>
            <w:proofErr w:type="gramStart"/>
            <w:r w:rsidRPr="00D87441">
              <w:rPr>
                <w:rFonts w:cs="Arial"/>
                <w:lang w:val="en-GB" w:bidi="pa-IN"/>
              </w:rPr>
              <w:t>management</w:t>
            </w:r>
            <w:proofErr w:type="gramEnd"/>
            <w:r w:rsidRPr="00D87441">
              <w:rPr>
                <w:rFonts w:cs="Arial"/>
                <w:lang w:val="en-GB" w:bidi="pa-IN"/>
              </w:rPr>
              <w:t xml:space="preserve"> systems.</w:t>
            </w:r>
            <w:r w:rsidR="00945F9B" w:rsidRPr="00D87441">
              <w:rPr>
                <w:rFonts w:eastAsia="Times New Roman" w:cs="Times New Roman"/>
                <w:color w:val="000000"/>
                <w:lang w:val="en-GB"/>
              </w:rPr>
              <w:br/>
            </w:r>
            <w:r w:rsidRPr="00D87441">
              <w:rPr>
                <w:rFonts w:cs="Arial"/>
                <w:lang w:val="en-GB" w:bidi="pa-IN"/>
              </w:rPr>
              <w:t>Adopti</w:t>
            </w:r>
            <w:r w:rsidR="003804B2">
              <w:rPr>
                <w:rFonts w:cs="Arial"/>
                <w:lang w:val="en-GB" w:bidi="pa-IN"/>
              </w:rPr>
              <w:t>on</w:t>
            </w:r>
            <w:r w:rsidRPr="00D87441">
              <w:rPr>
                <w:rFonts w:cs="Arial"/>
                <w:lang w:val="en-GB" w:bidi="pa-IN"/>
              </w:rPr>
              <w:t xml:space="preserve"> and appl</w:t>
            </w:r>
            <w:r w:rsidR="008C357F" w:rsidRPr="00D87441">
              <w:rPr>
                <w:rFonts w:cs="Arial"/>
                <w:lang w:val="en-GB" w:bidi="pa-IN"/>
              </w:rPr>
              <w:t>ica</w:t>
            </w:r>
            <w:r w:rsidR="003804B2">
              <w:rPr>
                <w:rFonts w:cs="Arial"/>
                <w:lang w:val="en-GB" w:bidi="pa-IN"/>
              </w:rPr>
              <w:t>tion</w:t>
            </w:r>
            <w:r w:rsidR="008C357F" w:rsidRPr="00D87441">
              <w:rPr>
                <w:rFonts w:cs="Arial"/>
                <w:lang w:val="en-GB" w:bidi="pa-IN"/>
              </w:rPr>
              <w:t xml:space="preserve"> of</w:t>
            </w:r>
            <w:r w:rsidRPr="00D87441">
              <w:rPr>
                <w:rFonts w:cs="Arial"/>
                <w:lang w:val="en-GB" w:bidi="pa-IN"/>
              </w:rPr>
              <w:t xml:space="preserve"> local and traditional knowledge, and through customary institutions and regulations;</w:t>
            </w:r>
            <w:r w:rsidR="008C357F" w:rsidRPr="00D87441">
              <w:rPr>
                <w:rFonts w:cs="Arial"/>
                <w:lang w:val="en-GB" w:bidi="pa-IN"/>
              </w:rPr>
              <w:t xml:space="preserve"> assistance to indigenous peoples in implementation of the IUCN Programme 2013–2016.</w:t>
            </w:r>
          </w:p>
        </w:tc>
      </w:tr>
      <w:tr w:rsidR="00945F9B" w:rsidRPr="00D87441" w:rsidTr="00047369">
        <w:trPr>
          <w:cnfStyle w:val="000000010000"/>
          <w:trHeight w:val="2280"/>
        </w:trPr>
        <w:tc>
          <w:tcPr>
            <w:cnfStyle w:val="001000000000"/>
            <w:tcW w:w="1140" w:type="dxa"/>
            <w:noWrap/>
            <w:vAlign w:val="center"/>
            <w:hideMark/>
          </w:tcPr>
          <w:p w:rsidR="00047369" w:rsidRPr="00D87441" w:rsidRDefault="00945F9B" w:rsidP="00047369">
            <w:pPr>
              <w:jc w:val="center"/>
              <w:rPr>
                <w:rFonts w:asciiTheme="minorHAnsi" w:eastAsia="Times New Roman" w:hAnsiTheme="minorHAnsi" w:cs="Times New Roman"/>
                <w:color w:val="000000"/>
                <w:lang w:val="en-GB"/>
              </w:rPr>
            </w:pPr>
            <w:proofErr w:type="spellStart"/>
            <w:r w:rsidRPr="00D87441">
              <w:rPr>
                <w:rFonts w:asciiTheme="minorHAnsi" w:eastAsia="Times New Roman" w:hAnsiTheme="minorHAnsi" w:cs="Times New Roman"/>
                <w:color w:val="000000"/>
                <w:lang w:val="en-GB"/>
              </w:rPr>
              <w:lastRenderedPageBreak/>
              <w:t>Jeju</w:t>
            </w:r>
            <w:proofErr w:type="spellEnd"/>
          </w:p>
        </w:tc>
        <w:tc>
          <w:tcPr>
            <w:tcW w:w="1720" w:type="dxa"/>
            <w:noWrap/>
            <w:vAlign w:val="center"/>
            <w:hideMark/>
          </w:tcPr>
          <w:p w:rsidR="00945F9B" w:rsidRPr="00D87441" w:rsidRDefault="00814631" w:rsidP="00047369">
            <w:pPr>
              <w:jc w:val="center"/>
              <w:cnfStyle w:val="00000001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056</w:t>
            </w:r>
          </w:p>
        </w:tc>
        <w:tc>
          <w:tcPr>
            <w:tcW w:w="2493" w:type="dxa"/>
            <w:vAlign w:val="center"/>
            <w:hideMark/>
          </w:tcPr>
          <w:p w:rsidR="008C357F" w:rsidRPr="00D87441" w:rsidRDefault="008C357F" w:rsidP="008C357F">
            <w:pPr>
              <w:pStyle w:val="Default"/>
              <w:cnfStyle w:val="000000010000"/>
              <w:rPr>
                <w:lang w:val="en-GB"/>
              </w:rPr>
            </w:pPr>
          </w:p>
          <w:p w:rsidR="00945F9B" w:rsidRPr="00D87441" w:rsidRDefault="008C357F" w:rsidP="008C357F">
            <w:pPr>
              <w:jc w:val="center"/>
              <w:cnfStyle w:val="000000010000"/>
              <w:rPr>
                <w:rFonts w:eastAsia="Times New Roman" w:cs="Times New Roman"/>
                <w:color w:val="000000"/>
                <w:lang w:val="en-GB"/>
              </w:rPr>
            </w:pPr>
            <w:r w:rsidRPr="00D87441">
              <w:rPr>
                <w:lang w:val="en-GB"/>
              </w:rPr>
              <w:t xml:space="preserve"> Enhancing connectivity conservation through international networking of best practice management</w:t>
            </w:r>
          </w:p>
        </w:tc>
        <w:tc>
          <w:tcPr>
            <w:tcW w:w="3167" w:type="dxa"/>
            <w:hideMark/>
          </w:tcPr>
          <w:p w:rsidR="008C357F" w:rsidRPr="00D87441" w:rsidRDefault="008C357F" w:rsidP="008C357F">
            <w:pPr>
              <w:pStyle w:val="Default"/>
              <w:cnfStyle w:val="000000010000"/>
              <w:rPr>
                <w:rFonts w:asciiTheme="minorHAnsi" w:hAnsiTheme="minorHAnsi"/>
                <w:sz w:val="22"/>
                <w:szCs w:val="22"/>
                <w:lang w:val="en-GB"/>
              </w:rPr>
            </w:pPr>
            <w:r w:rsidRPr="00D87441">
              <w:rPr>
                <w:rFonts w:asciiTheme="minorHAnsi" w:hAnsiTheme="minorHAnsi"/>
                <w:sz w:val="22"/>
                <w:szCs w:val="22"/>
                <w:lang w:val="en-GB"/>
              </w:rPr>
              <w:t xml:space="preserve">Requests that states consolidate and continue to establish national ecological networks and connectivity conservation areas to strengthen the protection of biodiversity. </w:t>
            </w:r>
          </w:p>
          <w:p w:rsidR="00945F9B" w:rsidRPr="00D87441" w:rsidRDefault="008C357F" w:rsidP="008C357F">
            <w:pPr>
              <w:pStyle w:val="Default"/>
              <w:cnfStyle w:val="000000010000"/>
              <w:rPr>
                <w:rFonts w:eastAsia="Times New Roman" w:cs="Times New Roman"/>
                <w:lang w:val="en-GB"/>
              </w:rPr>
            </w:pPr>
            <w:r w:rsidRPr="00D87441">
              <w:rPr>
                <w:rFonts w:asciiTheme="minorHAnsi" w:hAnsiTheme="minorHAnsi"/>
                <w:sz w:val="22"/>
                <w:szCs w:val="22"/>
                <w:lang w:val="en-GB"/>
              </w:rPr>
              <w:t xml:space="preserve">Requests further </w:t>
            </w:r>
            <w:proofErr w:type="gramStart"/>
            <w:r w:rsidRPr="00D87441">
              <w:rPr>
                <w:rFonts w:asciiTheme="minorHAnsi" w:hAnsiTheme="minorHAnsi"/>
                <w:sz w:val="22"/>
                <w:szCs w:val="22"/>
                <w:lang w:val="en-GB"/>
              </w:rPr>
              <w:t>support  and</w:t>
            </w:r>
            <w:proofErr w:type="gramEnd"/>
            <w:r w:rsidRPr="00D87441">
              <w:rPr>
                <w:rFonts w:asciiTheme="minorHAnsi" w:hAnsiTheme="minorHAnsi"/>
                <w:sz w:val="22"/>
                <w:szCs w:val="22"/>
                <w:lang w:val="en-GB"/>
              </w:rPr>
              <w:t xml:space="preserve"> </w:t>
            </w:r>
            <w:proofErr w:type="spellStart"/>
            <w:r w:rsidRPr="00D87441">
              <w:rPr>
                <w:rFonts w:asciiTheme="minorHAnsi" w:hAnsiTheme="minorHAnsi"/>
                <w:sz w:val="22"/>
                <w:szCs w:val="22"/>
                <w:lang w:val="en-GB"/>
              </w:rPr>
              <w:t>and</w:t>
            </w:r>
            <w:proofErr w:type="spellEnd"/>
            <w:r w:rsidRPr="00D87441">
              <w:rPr>
                <w:rFonts w:asciiTheme="minorHAnsi" w:hAnsiTheme="minorHAnsi"/>
                <w:sz w:val="22"/>
                <w:szCs w:val="22"/>
                <w:lang w:val="en-GB"/>
              </w:rPr>
              <w:t xml:space="preserve"> facilitation of the exchange of best practice connectivity conservation management information through an international network  of managers.</w:t>
            </w:r>
          </w:p>
        </w:tc>
      </w:tr>
      <w:tr w:rsidR="00650065" w:rsidRPr="00D87441" w:rsidTr="00047369">
        <w:trPr>
          <w:cnfStyle w:val="000000100000"/>
          <w:trHeight w:val="3121"/>
        </w:trPr>
        <w:tc>
          <w:tcPr>
            <w:cnfStyle w:val="001000000000"/>
            <w:tcW w:w="1140" w:type="dxa"/>
            <w:noWrap/>
            <w:vAlign w:val="center"/>
            <w:hideMark/>
          </w:tcPr>
          <w:p w:rsidR="00047369" w:rsidRPr="00D87441" w:rsidRDefault="00945F9B" w:rsidP="00047369">
            <w:pPr>
              <w:jc w:val="center"/>
              <w:rPr>
                <w:rFonts w:asciiTheme="minorHAnsi" w:eastAsia="Times New Roman" w:hAnsiTheme="minorHAnsi" w:cs="Times New Roman"/>
                <w:color w:val="000000"/>
                <w:lang w:val="en-GB"/>
              </w:rPr>
            </w:pPr>
            <w:proofErr w:type="spellStart"/>
            <w:r w:rsidRPr="00D87441">
              <w:rPr>
                <w:rFonts w:asciiTheme="minorHAnsi" w:eastAsia="Times New Roman" w:hAnsiTheme="minorHAnsi" w:cs="Times New Roman"/>
                <w:color w:val="000000"/>
                <w:lang w:val="en-GB"/>
              </w:rPr>
              <w:t>Jeju</w:t>
            </w:r>
            <w:proofErr w:type="spellEnd"/>
          </w:p>
        </w:tc>
        <w:tc>
          <w:tcPr>
            <w:tcW w:w="1720" w:type="dxa"/>
            <w:noWrap/>
            <w:vAlign w:val="center"/>
            <w:hideMark/>
          </w:tcPr>
          <w:p w:rsidR="00945F9B" w:rsidRPr="00D87441" w:rsidRDefault="00814631" w:rsidP="00047369">
            <w:pPr>
              <w:jc w:val="center"/>
              <w:cnfStyle w:val="00000010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035</w:t>
            </w:r>
          </w:p>
        </w:tc>
        <w:tc>
          <w:tcPr>
            <w:tcW w:w="2493" w:type="dxa"/>
            <w:vAlign w:val="center"/>
            <w:hideMark/>
          </w:tcPr>
          <w:p w:rsidR="008C357F" w:rsidRPr="00D87441" w:rsidRDefault="008C357F" w:rsidP="008C357F">
            <w:pPr>
              <w:pStyle w:val="Default"/>
              <w:cnfStyle w:val="000000100000"/>
              <w:rPr>
                <w:lang w:val="en-GB"/>
              </w:rPr>
            </w:pPr>
          </w:p>
          <w:p w:rsidR="00945F9B" w:rsidRPr="00D87441" w:rsidRDefault="008C357F" w:rsidP="008C357F">
            <w:pPr>
              <w:jc w:val="center"/>
              <w:cnfStyle w:val="000000100000"/>
              <w:rPr>
                <w:rFonts w:eastAsia="Times New Roman" w:cs="Times New Roman"/>
                <w:color w:val="000000"/>
                <w:lang w:val="en-GB"/>
              </w:rPr>
            </w:pPr>
            <w:r w:rsidRPr="00D87441">
              <w:rPr>
                <w:lang w:val="en-GB"/>
              </w:rPr>
              <w:t xml:space="preserve"> Facilitating conservation through the establishment of protected areas as a basis for achieving Target 11 of the Strategic Plan for Biodiversity 2011–2020</w:t>
            </w:r>
          </w:p>
        </w:tc>
        <w:tc>
          <w:tcPr>
            <w:tcW w:w="3167" w:type="dxa"/>
            <w:hideMark/>
          </w:tcPr>
          <w:p w:rsidR="00945F9B" w:rsidRPr="00D87441" w:rsidRDefault="00B81FC9" w:rsidP="00906024">
            <w:pPr>
              <w:cnfStyle w:val="000000100000"/>
              <w:rPr>
                <w:rFonts w:eastAsia="Times New Roman" w:cs="Times New Roman"/>
                <w:color w:val="000000"/>
                <w:lang w:val="en-GB"/>
              </w:rPr>
            </w:pPr>
            <w:r w:rsidRPr="00D87441">
              <w:rPr>
                <w:rFonts w:eastAsia="Times New Roman" w:cs="Times New Roman"/>
                <w:color w:val="000000"/>
                <w:lang w:val="en-GB"/>
              </w:rPr>
              <w:t>Conserva</w:t>
            </w:r>
            <w:r w:rsidR="008C357F" w:rsidRPr="00D87441">
              <w:rPr>
                <w:rFonts w:eastAsia="Times New Roman" w:cs="Times New Roman"/>
                <w:color w:val="000000"/>
                <w:lang w:val="en-GB"/>
              </w:rPr>
              <w:t xml:space="preserve">tion by means of protected area systems administered effectively and equitably. </w:t>
            </w:r>
            <w:r w:rsidR="00945F9B" w:rsidRPr="00D87441">
              <w:rPr>
                <w:rFonts w:eastAsia="Times New Roman" w:cs="Times New Roman"/>
                <w:color w:val="000000"/>
                <w:lang w:val="en-GB"/>
              </w:rPr>
              <w:br/>
            </w:r>
            <w:r w:rsidR="00906024" w:rsidRPr="00D87441">
              <w:rPr>
                <w:rFonts w:eastAsia="Times New Roman" w:cs="Times New Roman"/>
                <w:bCs/>
                <w:color w:val="000000"/>
                <w:lang w:val="en-GB"/>
              </w:rPr>
              <w:t>The resolution recommends that national governments recognise the IUCN definition of a protected area, including the full range of protected area management categories and governance types.</w:t>
            </w:r>
          </w:p>
        </w:tc>
      </w:tr>
      <w:tr w:rsidR="00945F9B" w:rsidRPr="00D87441" w:rsidTr="00047369">
        <w:trPr>
          <w:cnfStyle w:val="000000010000"/>
          <w:trHeight w:val="3675"/>
        </w:trPr>
        <w:tc>
          <w:tcPr>
            <w:cnfStyle w:val="001000000000"/>
            <w:tcW w:w="1140" w:type="dxa"/>
            <w:noWrap/>
            <w:vAlign w:val="center"/>
            <w:hideMark/>
          </w:tcPr>
          <w:p w:rsidR="00047369" w:rsidRPr="00D87441" w:rsidRDefault="00945F9B" w:rsidP="00047369">
            <w:pPr>
              <w:jc w:val="center"/>
              <w:rPr>
                <w:rFonts w:asciiTheme="minorHAnsi" w:eastAsia="Times New Roman" w:hAnsiTheme="minorHAnsi" w:cs="Times New Roman"/>
                <w:color w:val="000000"/>
                <w:lang w:val="en-GB"/>
              </w:rPr>
            </w:pPr>
            <w:proofErr w:type="spellStart"/>
            <w:r w:rsidRPr="00D87441">
              <w:rPr>
                <w:rFonts w:asciiTheme="minorHAnsi" w:eastAsia="Times New Roman" w:hAnsiTheme="minorHAnsi" w:cs="Times New Roman"/>
                <w:color w:val="000000"/>
                <w:lang w:val="en-GB"/>
              </w:rPr>
              <w:lastRenderedPageBreak/>
              <w:t>Jeju</w:t>
            </w:r>
            <w:proofErr w:type="spellEnd"/>
          </w:p>
        </w:tc>
        <w:tc>
          <w:tcPr>
            <w:tcW w:w="1720" w:type="dxa"/>
            <w:noWrap/>
            <w:vAlign w:val="center"/>
            <w:hideMark/>
          </w:tcPr>
          <w:p w:rsidR="00945F9B" w:rsidRPr="00D87441" w:rsidRDefault="00814631" w:rsidP="00047369">
            <w:pPr>
              <w:jc w:val="center"/>
              <w:cnfStyle w:val="00000001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181</w:t>
            </w:r>
          </w:p>
        </w:tc>
        <w:tc>
          <w:tcPr>
            <w:tcW w:w="2493" w:type="dxa"/>
            <w:vAlign w:val="center"/>
            <w:hideMark/>
          </w:tcPr>
          <w:p w:rsidR="00906024" w:rsidRPr="00D87441" w:rsidRDefault="00906024" w:rsidP="00906024">
            <w:pPr>
              <w:pStyle w:val="Default"/>
              <w:cnfStyle w:val="000000010000"/>
              <w:rPr>
                <w:lang w:val="en-GB"/>
              </w:rPr>
            </w:pPr>
          </w:p>
          <w:p w:rsidR="00945F9B" w:rsidRPr="00D87441" w:rsidRDefault="00906024" w:rsidP="00906024">
            <w:pPr>
              <w:jc w:val="center"/>
              <w:cnfStyle w:val="000000010000"/>
              <w:rPr>
                <w:rFonts w:eastAsia="Times New Roman" w:cs="Times New Roman"/>
                <w:color w:val="000000"/>
                <w:lang w:val="en-GB"/>
              </w:rPr>
            </w:pPr>
            <w:r w:rsidRPr="00D87441">
              <w:rPr>
                <w:lang w:val="en-GB"/>
              </w:rPr>
              <w:t xml:space="preserve"> Citizen participation in legislative procedures regarding the environment</w:t>
            </w:r>
          </w:p>
        </w:tc>
        <w:tc>
          <w:tcPr>
            <w:tcW w:w="3167" w:type="dxa"/>
            <w:hideMark/>
          </w:tcPr>
          <w:p w:rsidR="00945F9B" w:rsidRPr="00D87441" w:rsidRDefault="00906024" w:rsidP="00906024">
            <w:pPr>
              <w:pStyle w:val="Default"/>
              <w:cnfStyle w:val="000000010000"/>
              <w:rPr>
                <w:rFonts w:eastAsia="Times New Roman" w:cs="Times New Roman"/>
                <w:lang w:val="en-GB"/>
              </w:rPr>
            </w:pPr>
            <w:r w:rsidRPr="00D87441">
              <w:rPr>
                <w:rFonts w:asciiTheme="minorHAnsi" w:hAnsiTheme="minorHAnsi"/>
                <w:sz w:val="22"/>
                <w:szCs w:val="22"/>
                <w:lang w:val="en-GB"/>
              </w:rPr>
              <w:t>To establish mechanisms that allow for effective public participation preferably at an early phase, and when the options are still open, during the stage when regulatory provisions or other general, legally binding regulations that could make a great impact on the environment are being drawn up.</w:t>
            </w:r>
          </w:p>
        </w:tc>
      </w:tr>
      <w:tr w:rsidR="00650065" w:rsidRPr="00D87441" w:rsidTr="00047369">
        <w:trPr>
          <w:cnfStyle w:val="000000100000"/>
          <w:trHeight w:val="2895"/>
        </w:trPr>
        <w:tc>
          <w:tcPr>
            <w:cnfStyle w:val="001000000000"/>
            <w:tcW w:w="1140" w:type="dxa"/>
            <w:noWrap/>
            <w:vAlign w:val="center"/>
            <w:hideMark/>
          </w:tcPr>
          <w:p w:rsidR="00945F9B" w:rsidRPr="00D87441" w:rsidRDefault="00945F9B" w:rsidP="00047369">
            <w:pPr>
              <w:jc w:val="center"/>
              <w:rPr>
                <w:rFonts w:asciiTheme="minorHAnsi" w:eastAsia="Times New Roman" w:hAnsiTheme="minorHAnsi" w:cs="Times New Roman"/>
                <w:color w:val="000000"/>
                <w:lang w:val="en-GB"/>
              </w:rPr>
            </w:pPr>
            <w:r w:rsidRPr="00D87441">
              <w:rPr>
                <w:rFonts w:asciiTheme="minorHAnsi" w:eastAsia="Times New Roman" w:hAnsiTheme="minorHAnsi" w:cs="Times New Roman"/>
                <w:color w:val="000000"/>
                <w:lang w:val="en-GB"/>
              </w:rPr>
              <w:t>Barcelona</w:t>
            </w:r>
          </w:p>
        </w:tc>
        <w:tc>
          <w:tcPr>
            <w:tcW w:w="1720" w:type="dxa"/>
            <w:vAlign w:val="center"/>
            <w:hideMark/>
          </w:tcPr>
          <w:p w:rsidR="00945F9B" w:rsidRPr="00D87441" w:rsidRDefault="00814631" w:rsidP="00047369">
            <w:pPr>
              <w:jc w:val="center"/>
              <w:cnfStyle w:val="00000010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089</w:t>
            </w:r>
          </w:p>
        </w:tc>
        <w:tc>
          <w:tcPr>
            <w:tcW w:w="2493" w:type="dxa"/>
            <w:vAlign w:val="center"/>
            <w:hideMark/>
          </w:tcPr>
          <w:p w:rsidR="00906024" w:rsidRPr="00906024" w:rsidRDefault="00906024" w:rsidP="00906024">
            <w:pPr>
              <w:autoSpaceDE w:val="0"/>
              <w:autoSpaceDN w:val="0"/>
              <w:adjustRightInd w:val="0"/>
              <w:cnfStyle w:val="000000100000"/>
              <w:rPr>
                <w:rFonts w:ascii="Arial" w:hAnsi="Arial" w:cs="Arial"/>
                <w:color w:val="000000"/>
                <w:sz w:val="24"/>
                <w:szCs w:val="24"/>
                <w:lang w:val="en-GB" w:bidi="pa-IN"/>
              </w:rPr>
            </w:pPr>
          </w:p>
          <w:p w:rsidR="00945F9B" w:rsidRPr="00D87441" w:rsidRDefault="00906024" w:rsidP="00906024">
            <w:pPr>
              <w:jc w:val="center"/>
              <w:cnfStyle w:val="000000100000"/>
              <w:rPr>
                <w:rFonts w:eastAsia="Times New Roman" w:cs="Times New Roman"/>
                <w:color w:val="000000"/>
                <w:lang w:val="en-GB"/>
              </w:rPr>
            </w:pPr>
            <w:r w:rsidRPr="00D87441">
              <w:rPr>
                <w:rFonts w:ascii="Arial" w:hAnsi="Arial" w:cs="Raavi"/>
                <w:sz w:val="24"/>
                <w:szCs w:val="24"/>
                <w:lang w:val="en-GB" w:bidi="pa-IN"/>
              </w:rPr>
              <w:t xml:space="preserve"> </w:t>
            </w:r>
            <w:r w:rsidRPr="00D87441">
              <w:rPr>
                <w:rFonts w:ascii="Calibri" w:hAnsi="Calibri" w:cs="Arial"/>
                <w:color w:val="000000"/>
                <w:lang w:val="en-GB" w:bidi="pa-IN"/>
              </w:rPr>
              <w:t>Establishing Citizens' Advisory Councils for large-scale extractive industry projects</w:t>
            </w:r>
            <w:r w:rsidRPr="00D87441">
              <w:rPr>
                <w:rFonts w:ascii="Arial" w:hAnsi="Arial" w:cs="Arial"/>
                <w:color w:val="000000"/>
                <w:sz w:val="23"/>
                <w:szCs w:val="23"/>
                <w:lang w:val="en-GB" w:bidi="pa-IN"/>
              </w:rPr>
              <w:t xml:space="preserve"> </w:t>
            </w:r>
          </w:p>
        </w:tc>
        <w:tc>
          <w:tcPr>
            <w:tcW w:w="3167" w:type="dxa"/>
            <w:hideMark/>
          </w:tcPr>
          <w:p w:rsidR="00945F9B" w:rsidRPr="00D87441" w:rsidRDefault="00906024" w:rsidP="00906024">
            <w:pPr>
              <w:cnfStyle w:val="000000100000"/>
              <w:rPr>
                <w:rFonts w:eastAsia="Times New Roman" w:cs="Times New Roman"/>
                <w:color w:val="000000"/>
                <w:lang w:val="en-GB"/>
              </w:rPr>
            </w:pPr>
            <w:r w:rsidRPr="00D87441">
              <w:rPr>
                <w:lang w:val="en-GB"/>
              </w:rPr>
              <w:t>Calls on the extractive industries to embrace and support the formation of local Citizens’ Advisory Councils comprised of representatives of civil society in the vicinity of extractive industry projects being undertaken in ecologically sensitive areas, and having the function to provide informed public oversight of these projects in order to minimise their environmental and social impacts</w:t>
            </w:r>
            <w:r w:rsidR="00B81FC9" w:rsidRPr="00D87441">
              <w:rPr>
                <w:rFonts w:eastAsia="Times New Roman" w:cs="Times New Roman"/>
                <w:color w:val="000000"/>
                <w:lang w:val="en-GB"/>
              </w:rPr>
              <w:t>.</w:t>
            </w:r>
            <w:r w:rsidR="00945F9B" w:rsidRPr="00D87441">
              <w:rPr>
                <w:rFonts w:eastAsia="Times New Roman" w:cs="Times New Roman"/>
                <w:color w:val="000000"/>
                <w:lang w:val="en-GB"/>
              </w:rPr>
              <w:t xml:space="preserve"> </w:t>
            </w:r>
          </w:p>
        </w:tc>
      </w:tr>
      <w:tr w:rsidR="00945F9B" w:rsidRPr="00D87441" w:rsidTr="00047369">
        <w:trPr>
          <w:cnfStyle w:val="000000010000"/>
          <w:trHeight w:val="1545"/>
        </w:trPr>
        <w:tc>
          <w:tcPr>
            <w:cnfStyle w:val="001000000000"/>
            <w:tcW w:w="1140" w:type="dxa"/>
            <w:noWrap/>
            <w:vAlign w:val="center"/>
            <w:hideMark/>
          </w:tcPr>
          <w:p w:rsidR="00945F9B" w:rsidRPr="00D87441" w:rsidRDefault="00945F9B" w:rsidP="00047369">
            <w:pPr>
              <w:jc w:val="center"/>
              <w:rPr>
                <w:rFonts w:asciiTheme="minorHAnsi" w:eastAsia="Times New Roman" w:hAnsiTheme="minorHAnsi" w:cs="Times New Roman"/>
                <w:color w:val="000000"/>
                <w:lang w:val="en-GB"/>
              </w:rPr>
            </w:pPr>
            <w:r w:rsidRPr="00D87441">
              <w:rPr>
                <w:rFonts w:asciiTheme="minorHAnsi" w:eastAsia="Times New Roman" w:hAnsiTheme="minorHAnsi" w:cs="Times New Roman"/>
                <w:color w:val="000000"/>
                <w:lang w:val="en-GB"/>
              </w:rPr>
              <w:t>Barcelona</w:t>
            </w:r>
          </w:p>
        </w:tc>
        <w:tc>
          <w:tcPr>
            <w:tcW w:w="1720" w:type="dxa"/>
            <w:vAlign w:val="center"/>
            <w:hideMark/>
          </w:tcPr>
          <w:p w:rsidR="00945F9B" w:rsidRPr="00D87441" w:rsidRDefault="00814631" w:rsidP="00047369">
            <w:pPr>
              <w:jc w:val="center"/>
              <w:cnfStyle w:val="00000001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056</w:t>
            </w:r>
          </w:p>
        </w:tc>
        <w:tc>
          <w:tcPr>
            <w:tcW w:w="2493" w:type="dxa"/>
            <w:vAlign w:val="center"/>
            <w:hideMark/>
          </w:tcPr>
          <w:p w:rsidR="00906024" w:rsidRPr="00906024" w:rsidRDefault="00906024" w:rsidP="00906024">
            <w:pPr>
              <w:autoSpaceDE w:val="0"/>
              <w:autoSpaceDN w:val="0"/>
              <w:adjustRightInd w:val="0"/>
              <w:cnfStyle w:val="000000010000"/>
              <w:rPr>
                <w:rFonts w:ascii="Arial" w:hAnsi="Arial" w:cs="Arial"/>
                <w:color w:val="000000"/>
                <w:sz w:val="24"/>
                <w:szCs w:val="24"/>
                <w:lang w:val="en-GB" w:bidi="pa-IN"/>
              </w:rPr>
            </w:pPr>
          </w:p>
          <w:p w:rsidR="00945F9B" w:rsidRPr="00D87441" w:rsidRDefault="00906024" w:rsidP="00906024">
            <w:pPr>
              <w:jc w:val="center"/>
              <w:cnfStyle w:val="000000010000"/>
              <w:rPr>
                <w:rFonts w:eastAsia="Times New Roman" w:cs="Times New Roman"/>
                <w:color w:val="000000"/>
                <w:lang w:val="en-GB"/>
              </w:rPr>
            </w:pPr>
            <w:r w:rsidRPr="00D87441">
              <w:rPr>
                <w:rFonts w:ascii="Arial" w:hAnsi="Arial" w:cs="Raavi"/>
                <w:sz w:val="24"/>
                <w:szCs w:val="24"/>
                <w:lang w:val="en-GB" w:bidi="pa-IN"/>
              </w:rPr>
              <w:t xml:space="preserve"> </w:t>
            </w:r>
            <w:r w:rsidRPr="00D87441">
              <w:rPr>
                <w:rFonts w:cs="Arial"/>
                <w:color w:val="000000"/>
                <w:lang w:val="en-GB" w:bidi="pa-IN"/>
              </w:rPr>
              <w:t>Rights-based approaches to conservation</w:t>
            </w:r>
          </w:p>
        </w:tc>
        <w:tc>
          <w:tcPr>
            <w:tcW w:w="3167" w:type="dxa"/>
            <w:hideMark/>
          </w:tcPr>
          <w:p w:rsidR="00945F9B" w:rsidRPr="00D87441" w:rsidRDefault="003804B2" w:rsidP="003804B2">
            <w:pPr>
              <w:cnfStyle w:val="000000010000"/>
              <w:rPr>
                <w:rFonts w:eastAsia="Times New Roman" w:cs="Times New Roman"/>
                <w:bCs/>
                <w:color w:val="000000"/>
                <w:lang w:val="en-GB"/>
              </w:rPr>
            </w:pPr>
            <w:r>
              <w:rPr>
                <w:rFonts w:cs="Arial"/>
                <w:color w:val="000000"/>
                <w:lang w:val="en-GB"/>
              </w:rPr>
              <w:t>To s</w:t>
            </w:r>
            <w:r w:rsidR="00463F46" w:rsidRPr="00D87441">
              <w:rPr>
                <w:rFonts w:cs="Arial"/>
                <w:color w:val="000000"/>
                <w:lang w:val="en-GB"/>
              </w:rPr>
              <w:t xml:space="preserve">upport improvement of governance frameworks on matters regarding the legal and policy frameworks, institutions and procedures that can secure the rights of local people in the context of conservation and sustainable resource use. </w:t>
            </w:r>
          </w:p>
        </w:tc>
      </w:tr>
      <w:tr w:rsidR="00650065" w:rsidRPr="00D87441" w:rsidTr="00047369">
        <w:trPr>
          <w:cnfStyle w:val="000000100000"/>
          <w:trHeight w:val="3392"/>
        </w:trPr>
        <w:tc>
          <w:tcPr>
            <w:cnfStyle w:val="001000000000"/>
            <w:tcW w:w="1140" w:type="dxa"/>
            <w:noWrap/>
            <w:vAlign w:val="center"/>
            <w:hideMark/>
          </w:tcPr>
          <w:p w:rsidR="00945F9B" w:rsidRPr="00D87441" w:rsidRDefault="00945F9B" w:rsidP="00047369">
            <w:pPr>
              <w:jc w:val="center"/>
              <w:rPr>
                <w:rFonts w:asciiTheme="minorHAnsi" w:eastAsia="Times New Roman" w:hAnsiTheme="minorHAnsi" w:cs="Times New Roman"/>
                <w:color w:val="000000"/>
                <w:lang w:val="en-GB"/>
              </w:rPr>
            </w:pPr>
            <w:r w:rsidRPr="00D87441">
              <w:rPr>
                <w:rFonts w:asciiTheme="minorHAnsi" w:eastAsia="Times New Roman" w:hAnsiTheme="minorHAnsi" w:cs="Times New Roman"/>
                <w:color w:val="000000"/>
                <w:lang w:val="en-GB"/>
              </w:rPr>
              <w:t>Barcelona</w:t>
            </w:r>
          </w:p>
        </w:tc>
        <w:tc>
          <w:tcPr>
            <w:tcW w:w="1720" w:type="dxa"/>
            <w:vAlign w:val="center"/>
            <w:hideMark/>
          </w:tcPr>
          <w:p w:rsidR="00945F9B" w:rsidRPr="00D87441" w:rsidRDefault="00814631" w:rsidP="00047369">
            <w:pPr>
              <w:jc w:val="center"/>
              <w:cnfStyle w:val="00000010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037</w:t>
            </w:r>
          </w:p>
        </w:tc>
        <w:tc>
          <w:tcPr>
            <w:tcW w:w="2493" w:type="dxa"/>
            <w:vAlign w:val="center"/>
            <w:hideMark/>
          </w:tcPr>
          <w:p w:rsidR="00463F46" w:rsidRPr="00463F46" w:rsidRDefault="00463F46" w:rsidP="00463F46">
            <w:pPr>
              <w:autoSpaceDE w:val="0"/>
              <w:autoSpaceDN w:val="0"/>
              <w:adjustRightInd w:val="0"/>
              <w:cnfStyle w:val="000000100000"/>
              <w:rPr>
                <w:rFonts w:ascii="Arial" w:hAnsi="Arial" w:cs="Arial"/>
                <w:color w:val="000000"/>
                <w:sz w:val="24"/>
                <w:szCs w:val="24"/>
                <w:lang w:val="en-GB" w:bidi="pa-IN"/>
              </w:rPr>
            </w:pPr>
          </w:p>
          <w:p w:rsidR="00945F9B" w:rsidRPr="00D87441" w:rsidRDefault="00463F46" w:rsidP="00463F46">
            <w:pPr>
              <w:jc w:val="center"/>
              <w:cnfStyle w:val="000000100000"/>
              <w:rPr>
                <w:rFonts w:eastAsia="Times New Roman" w:cs="Times New Roman"/>
                <w:color w:val="000000"/>
                <w:lang w:val="en-GB"/>
              </w:rPr>
            </w:pPr>
            <w:r w:rsidRPr="00D87441">
              <w:rPr>
                <w:rFonts w:ascii="Arial" w:hAnsi="Arial" w:cs="Raavi"/>
                <w:sz w:val="24"/>
                <w:szCs w:val="24"/>
                <w:lang w:val="en-GB" w:bidi="pa-IN"/>
              </w:rPr>
              <w:t xml:space="preserve"> </w:t>
            </w:r>
            <w:r w:rsidRPr="00D87441">
              <w:rPr>
                <w:rFonts w:ascii="Calibri" w:hAnsi="Calibri" w:cs="Arial"/>
                <w:color w:val="000000"/>
                <w:lang w:val="en-GB" w:bidi="pa-IN"/>
              </w:rPr>
              <w:t>Municipal Conservation Areas</w:t>
            </w:r>
          </w:p>
        </w:tc>
        <w:tc>
          <w:tcPr>
            <w:tcW w:w="3167" w:type="dxa"/>
            <w:hideMark/>
          </w:tcPr>
          <w:p w:rsidR="00945F9B" w:rsidRPr="00D87441" w:rsidRDefault="00463F46" w:rsidP="003804B2">
            <w:pPr>
              <w:cnfStyle w:val="000000100000"/>
              <w:rPr>
                <w:rFonts w:eastAsia="Times New Roman" w:cs="Times New Roman"/>
                <w:color w:val="000000"/>
                <w:lang w:val="en-GB"/>
              </w:rPr>
            </w:pPr>
            <w:r w:rsidRPr="00D87441">
              <w:rPr>
                <w:rFonts w:cs="Arial"/>
                <w:color w:val="000000"/>
                <w:lang w:val="en-GB"/>
              </w:rPr>
              <w:t>Based</w:t>
            </w:r>
            <w:r w:rsidR="003804B2">
              <w:rPr>
                <w:rFonts w:cs="Arial"/>
                <w:color w:val="000000"/>
                <w:lang w:val="en-GB"/>
              </w:rPr>
              <w:t xml:space="preserve"> </w:t>
            </w:r>
            <w:r w:rsidRPr="00D87441">
              <w:rPr>
                <w:rFonts w:cs="Arial"/>
                <w:color w:val="000000"/>
                <w:lang w:val="en-GB"/>
              </w:rPr>
              <w:t>on governance types, requests the introduction of Municipal Conservation Areas in the CBD Programme of Work on Protected Areas</w:t>
            </w:r>
            <w:r w:rsidRPr="00D87441">
              <w:rPr>
                <w:rFonts w:cs="Arial"/>
                <w:i/>
                <w:iCs/>
                <w:color w:val="000000"/>
                <w:lang w:val="en-GB"/>
              </w:rPr>
              <w:t xml:space="preserve"> </w:t>
            </w:r>
            <w:r w:rsidRPr="00D87441">
              <w:rPr>
                <w:rFonts w:cs="Arial"/>
                <w:color w:val="000000"/>
                <w:lang w:val="en-GB"/>
              </w:rPr>
              <w:t>at the 10th Meeting of the Conference of Parties in 2010, in order to influence global policies that regulate this kind of protected area governance.</w:t>
            </w:r>
          </w:p>
        </w:tc>
      </w:tr>
      <w:tr w:rsidR="00945F9B" w:rsidRPr="00D87441" w:rsidTr="00047369">
        <w:trPr>
          <w:cnfStyle w:val="000000010000"/>
          <w:trHeight w:val="2190"/>
        </w:trPr>
        <w:tc>
          <w:tcPr>
            <w:cnfStyle w:val="001000000000"/>
            <w:tcW w:w="1140" w:type="dxa"/>
            <w:noWrap/>
            <w:vAlign w:val="center"/>
            <w:hideMark/>
          </w:tcPr>
          <w:p w:rsidR="00945F9B" w:rsidRPr="00D87441" w:rsidRDefault="00945F9B" w:rsidP="00047369">
            <w:pPr>
              <w:jc w:val="center"/>
              <w:rPr>
                <w:rFonts w:asciiTheme="minorHAnsi" w:eastAsia="Times New Roman" w:hAnsiTheme="minorHAnsi" w:cs="Times New Roman"/>
                <w:color w:val="000000"/>
                <w:lang w:val="en-GB"/>
              </w:rPr>
            </w:pPr>
            <w:r w:rsidRPr="00D87441">
              <w:rPr>
                <w:rFonts w:asciiTheme="minorHAnsi" w:eastAsia="Times New Roman" w:hAnsiTheme="minorHAnsi" w:cs="Times New Roman"/>
                <w:color w:val="000000"/>
                <w:lang w:val="en-GB"/>
              </w:rPr>
              <w:lastRenderedPageBreak/>
              <w:t>Bangkok</w:t>
            </w:r>
          </w:p>
        </w:tc>
        <w:tc>
          <w:tcPr>
            <w:tcW w:w="1720" w:type="dxa"/>
            <w:vAlign w:val="center"/>
            <w:hideMark/>
          </w:tcPr>
          <w:p w:rsidR="00945F9B" w:rsidRPr="00D87441" w:rsidRDefault="00945F9B" w:rsidP="00047369">
            <w:pPr>
              <w:jc w:val="center"/>
              <w:cnfStyle w:val="000000010000"/>
              <w:rPr>
                <w:rFonts w:eastAsia="Times New Roman" w:cs="Times New Roman"/>
                <w:color w:val="000000"/>
                <w:lang w:val="en-GB"/>
              </w:rPr>
            </w:pPr>
            <w:proofErr w:type="spellStart"/>
            <w:r w:rsidRPr="00D87441">
              <w:rPr>
                <w:rFonts w:eastAsia="Times New Roman" w:cs="Times New Roman"/>
                <w:color w:val="000000"/>
                <w:lang w:val="en-GB"/>
              </w:rPr>
              <w:t>Recomendación</w:t>
            </w:r>
            <w:proofErr w:type="spellEnd"/>
            <w:r w:rsidRPr="00D87441">
              <w:rPr>
                <w:rFonts w:eastAsia="Times New Roman" w:cs="Times New Roman"/>
                <w:color w:val="000000"/>
                <w:lang w:val="en-GB"/>
              </w:rPr>
              <w:t xml:space="preserve"> 081</w:t>
            </w:r>
          </w:p>
        </w:tc>
        <w:tc>
          <w:tcPr>
            <w:tcW w:w="2493" w:type="dxa"/>
            <w:vAlign w:val="center"/>
            <w:hideMark/>
          </w:tcPr>
          <w:p w:rsidR="00463F46" w:rsidRPr="00D87441" w:rsidRDefault="00463F46" w:rsidP="00DD3565">
            <w:pPr>
              <w:autoSpaceDE w:val="0"/>
              <w:autoSpaceDN w:val="0"/>
              <w:adjustRightInd w:val="0"/>
              <w:jc w:val="center"/>
              <w:cnfStyle w:val="000000010000"/>
              <w:rPr>
                <w:rFonts w:cs="TimesNewRomanPS-BoldMT"/>
                <w:lang w:val="en-GB" w:bidi="pa-IN"/>
              </w:rPr>
            </w:pPr>
            <w:r w:rsidRPr="00D87441">
              <w:rPr>
                <w:rFonts w:cs="TimesNewRomanPS-BoldMT"/>
                <w:lang w:val="en-GB" w:bidi="pa-IN"/>
              </w:rPr>
              <w:t>Implementation of</w:t>
            </w:r>
          </w:p>
          <w:p w:rsidR="00463F46" w:rsidRPr="00D87441" w:rsidRDefault="00463F46" w:rsidP="00DD3565">
            <w:pPr>
              <w:autoSpaceDE w:val="0"/>
              <w:autoSpaceDN w:val="0"/>
              <w:adjustRightInd w:val="0"/>
              <w:jc w:val="center"/>
              <w:cnfStyle w:val="000000010000"/>
              <w:rPr>
                <w:rFonts w:cs="TimesNewRomanPS-BoldMT"/>
                <w:lang w:val="en-GB" w:bidi="pa-IN"/>
              </w:rPr>
            </w:pPr>
            <w:r w:rsidRPr="00D87441">
              <w:rPr>
                <w:rFonts w:cs="TimesNewRomanPS-BoldMT"/>
                <w:lang w:val="en-GB" w:bidi="pa-IN"/>
              </w:rPr>
              <w:t>Principle 10 by building</w:t>
            </w:r>
          </w:p>
          <w:p w:rsidR="00463F46" w:rsidRPr="00D87441" w:rsidRDefault="00463F46" w:rsidP="00DD3565">
            <w:pPr>
              <w:autoSpaceDE w:val="0"/>
              <w:autoSpaceDN w:val="0"/>
              <w:adjustRightInd w:val="0"/>
              <w:jc w:val="center"/>
              <w:cnfStyle w:val="000000010000"/>
              <w:rPr>
                <w:rFonts w:cs="TimesNewRomanPS-BoldMT"/>
                <w:lang w:val="en-GB" w:bidi="pa-IN"/>
              </w:rPr>
            </w:pPr>
            <w:r w:rsidRPr="00D87441">
              <w:rPr>
                <w:rFonts w:cs="TimesNewRomanPS-BoldMT"/>
                <w:lang w:val="en-GB" w:bidi="pa-IN"/>
              </w:rPr>
              <w:t>comprehensive good</w:t>
            </w:r>
          </w:p>
          <w:p w:rsidR="00945F9B" w:rsidRPr="00D87441" w:rsidRDefault="00463F46" w:rsidP="00DD3565">
            <w:pPr>
              <w:jc w:val="center"/>
              <w:cnfStyle w:val="000000010000"/>
              <w:rPr>
                <w:rFonts w:eastAsia="Times New Roman" w:cs="Times New Roman"/>
                <w:color w:val="000000"/>
                <w:lang w:val="en-GB"/>
              </w:rPr>
            </w:pPr>
            <w:r w:rsidRPr="00D87441">
              <w:rPr>
                <w:rFonts w:cs="TimesNewRomanPS-BoldMT"/>
                <w:lang w:val="en-GB" w:bidi="pa-IN"/>
              </w:rPr>
              <w:t>governance systems</w:t>
            </w:r>
          </w:p>
        </w:tc>
        <w:tc>
          <w:tcPr>
            <w:tcW w:w="3167" w:type="dxa"/>
            <w:hideMark/>
          </w:tcPr>
          <w:p w:rsidR="00463F46" w:rsidRPr="00D87441" w:rsidRDefault="00463F46" w:rsidP="00463F46">
            <w:pPr>
              <w:autoSpaceDE w:val="0"/>
              <w:autoSpaceDN w:val="0"/>
              <w:adjustRightInd w:val="0"/>
              <w:cnfStyle w:val="000000010000"/>
              <w:rPr>
                <w:rFonts w:cs="TimesNewRomanPSMT"/>
                <w:lang w:val="en-GB" w:bidi="pa-IN"/>
              </w:rPr>
            </w:pPr>
            <w:r w:rsidRPr="00D87441">
              <w:rPr>
                <w:rFonts w:cs="TimesNewRomanPSMT"/>
                <w:lang w:val="en-GB" w:bidi="pa-IN"/>
              </w:rPr>
              <w:t>Urges international institutions to internalise good-governance practices across all offices,</w:t>
            </w:r>
          </w:p>
          <w:p w:rsidR="00945F9B" w:rsidRPr="00D87441" w:rsidRDefault="00463F46" w:rsidP="00463F46">
            <w:pPr>
              <w:autoSpaceDE w:val="0"/>
              <w:autoSpaceDN w:val="0"/>
              <w:adjustRightInd w:val="0"/>
              <w:cnfStyle w:val="000000010000"/>
              <w:rPr>
                <w:rFonts w:eastAsia="Times New Roman" w:cs="Times New Roman"/>
                <w:color w:val="000000"/>
                <w:lang w:val="en-GB"/>
              </w:rPr>
            </w:pPr>
            <w:proofErr w:type="gramStart"/>
            <w:r w:rsidRPr="00D87441">
              <w:rPr>
                <w:rFonts w:cs="TimesNewRomanPSMT"/>
                <w:lang w:val="en-GB" w:bidi="pa-IN"/>
              </w:rPr>
              <w:t>missions</w:t>
            </w:r>
            <w:proofErr w:type="gramEnd"/>
            <w:r w:rsidRPr="00D87441">
              <w:rPr>
                <w:rFonts w:cs="TimesNewRomanPSMT"/>
                <w:lang w:val="en-GB" w:bidi="pa-IN"/>
              </w:rPr>
              <w:t>, departments, and projects in decisions that affect the environment</w:t>
            </w:r>
            <w:r w:rsidR="00945F9B" w:rsidRPr="00D87441">
              <w:rPr>
                <w:rFonts w:eastAsia="Times New Roman" w:cs="Times New Roman"/>
                <w:lang w:val="en-GB"/>
              </w:rPr>
              <w:t>.</w:t>
            </w:r>
          </w:p>
        </w:tc>
      </w:tr>
      <w:tr w:rsidR="00650065" w:rsidRPr="00D87441" w:rsidTr="00047369">
        <w:trPr>
          <w:cnfStyle w:val="000000100000"/>
          <w:trHeight w:val="2019"/>
        </w:trPr>
        <w:tc>
          <w:tcPr>
            <w:cnfStyle w:val="001000000000"/>
            <w:tcW w:w="1140" w:type="dxa"/>
            <w:noWrap/>
            <w:vAlign w:val="center"/>
            <w:hideMark/>
          </w:tcPr>
          <w:p w:rsidR="00945F9B" w:rsidRPr="00D87441" w:rsidRDefault="00945F9B" w:rsidP="00047369">
            <w:pPr>
              <w:jc w:val="center"/>
              <w:rPr>
                <w:rFonts w:asciiTheme="minorHAnsi" w:eastAsia="Times New Roman" w:hAnsiTheme="minorHAnsi" w:cs="Times New Roman"/>
                <w:color w:val="000000"/>
                <w:lang w:val="en-GB"/>
              </w:rPr>
            </w:pPr>
            <w:r w:rsidRPr="00D87441">
              <w:rPr>
                <w:rFonts w:asciiTheme="minorHAnsi" w:eastAsia="Times New Roman" w:hAnsiTheme="minorHAnsi" w:cs="Times New Roman"/>
                <w:color w:val="000000"/>
                <w:lang w:val="en-GB"/>
              </w:rPr>
              <w:t>Bangkok</w:t>
            </w:r>
          </w:p>
        </w:tc>
        <w:tc>
          <w:tcPr>
            <w:tcW w:w="1720" w:type="dxa"/>
            <w:vAlign w:val="center"/>
            <w:hideMark/>
          </w:tcPr>
          <w:p w:rsidR="00945F9B" w:rsidRPr="00D87441" w:rsidRDefault="00814631" w:rsidP="00047369">
            <w:pPr>
              <w:jc w:val="center"/>
              <w:cnfStyle w:val="00000010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061</w:t>
            </w:r>
          </w:p>
        </w:tc>
        <w:tc>
          <w:tcPr>
            <w:tcW w:w="2493" w:type="dxa"/>
            <w:vAlign w:val="center"/>
            <w:hideMark/>
          </w:tcPr>
          <w:p w:rsidR="00463F46" w:rsidRPr="00D87441" w:rsidRDefault="00463F46" w:rsidP="00463F46">
            <w:pPr>
              <w:autoSpaceDE w:val="0"/>
              <w:autoSpaceDN w:val="0"/>
              <w:adjustRightInd w:val="0"/>
              <w:cnfStyle w:val="000000100000"/>
              <w:rPr>
                <w:rFonts w:cs="TimesNewRomanPS-BoldMT"/>
                <w:lang w:val="en-GB" w:bidi="pa-IN"/>
              </w:rPr>
            </w:pPr>
            <w:r w:rsidRPr="00D87441">
              <w:rPr>
                <w:rFonts w:cs="TimesNewRomanPS-BoldMT"/>
                <w:lang w:val="en-GB" w:bidi="pa-IN"/>
              </w:rPr>
              <w:t>IUCN’s interaction with</w:t>
            </w:r>
          </w:p>
          <w:p w:rsidR="00945F9B" w:rsidRPr="00D87441" w:rsidRDefault="00463F46" w:rsidP="00463F46">
            <w:pPr>
              <w:jc w:val="center"/>
              <w:cnfStyle w:val="000000100000"/>
              <w:rPr>
                <w:rFonts w:eastAsia="Times New Roman" w:cs="Times New Roman"/>
                <w:color w:val="000000"/>
                <w:lang w:val="en-GB"/>
              </w:rPr>
            </w:pPr>
            <w:r w:rsidRPr="00D87441">
              <w:rPr>
                <w:rFonts w:cs="TimesNewRomanPS-BoldMT"/>
                <w:lang w:val="en-GB" w:bidi="pa-IN"/>
              </w:rPr>
              <w:t>the private sector</w:t>
            </w:r>
          </w:p>
        </w:tc>
        <w:tc>
          <w:tcPr>
            <w:tcW w:w="3167" w:type="dxa"/>
            <w:hideMark/>
          </w:tcPr>
          <w:p w:rsidR="00945F9B" w:rsidRPr="00D87441" w:rsidRDefault="003804B2" w:rsidP="003804B2">
            <w:pPr>
              <w:autoSpaceDE w:val="0"/>
              <w:autoSpaceDN w:val="0"/>
              <w:adjustRightInd w:val="0"/>
              <w:cnfStyle w:val="000000100000"/>
              <w:rPr>
                <w:rFonts w:eastAsia="Times New Roman" w:cs="Times New Roman"/>
                <w:color w:val="000000"/>
                <w:lang w:val="en-GB"/>
              </w:rPr>
            </w:pPr>
            <w:r>
              <w:rPr>
                <w:rFonts w:cs="TimesNewRomanPSMT"/>
                <w:lang w:val="en-GB" w:bidi="pa-IN"/>
              </w:rPr>
              <w:t>T</w:t>
            </w:r>
            <w:r w:rsidR="00E6310E" w:rsidRPr="00D87441">
              <w:rPr>
                <w:rFonts w:cs="TimesNewRomanPSMT"/>
                <w:lang w:val="en-GB" w:bidi="pa-IN"/>
              </w:rPr>
              <w:t>ransparency through ensuring public</w:t>
            </w:r>
            <w:r>
              <w:rPr>
                <w:rFonts w:cs="TimesNewRomanPSMT"/>
                <w:lang w:val="en-GB" w:bidi="pa-IN"/>
              </w:rPr>
              <w:t xml:space="preserve"> </w:t>
            </w:r>
            <w:r w:rsidR="00E6310E" w:rsidRPr="00D87441">
              <w:rPr>
                <w:rFonts w:cs="TimesNewRomanPSMT"/>
                <w:lang w:val="en-GB" w:bidi="pa-IN"/>
              </w:rPr>
              <w:t>access to information; and</w:t>
            </w:r>
            <w:r>
              <w:rPr>
                <w:rFonts w:cs="TimesNewRomanPSMT"/>
                <w:lang w:val="en-GB" w:bidi="pa-IN"/>
              </w:rPr>
              <w:t xml:space="preserve"> </w:t>
            </w:r>
            <w:r w:rsidR="00E6310E" w:rsidRPr="00D87441">
              <w:rPr>
                <w:rFonts w:cs="TimesNewRomanPSMT"/>
                <w:lang w:val="en-GB" w:bidi="pa-IN"/>
              </w:rPr>
              <w:t>participation of all stakeholders, especially vulnerable groups, in dialogues with the private sector.</w:t>
            </w:r>
            <w:r w:rsidR="00945F9B" w:rsidRPr="00D87441">
              <w:rPr>
                <w:rFonts w:eastAsia="Times New Roman" w:cs="Times New Roman"/>
                <w:bCs/>
                <w:color w:val="000000"/>
                <w:lang w:val="en-GB"/>
              </w:rPr>
              <w:t xml:space="preserve"> </w:t>
            </w:r>
          </w:p>
        </w:tc>
      </w:tr>
      <w:tr w:rsidR="00945F9B" w:rsidRPr="00D87441" w:rsidTr="00047369">
        <w:trPr>
          <w:cnfStyle w:val="000000010000"/>
          <w:trHeight w:val="1124"/>
        </w:trPr>
        <w:tc>
          <w:tcPr>
            <w:cnfStyle w:val="001000000000"/>
            <w:tcW w:w="1140" w:type="dxa"/>
            <w:noWrap/>
            <w:vAlign w:val="center"/>
            <w:hideMark/>
          </w:tcPr>
          <w:p w:rsidR="00945F9B" w:rsidRPr="00D87441" w:rsidRDefault="00945F9B" w:rsidP="00047369">
            <w:pPr>
              <w:jc w:val="center"/>
              <w:rPr>
                <w:rFonts w:asciiTheme="minorHAnsi" w:eastAsia="Times New Roman" w:hAnsiTheme="minorHAnsi" w:cs="Times New Roman"/>
                <w:color w:val="000000"/>
                <w:lang w:val="en-GB"/>
              </w:rPr>
            </w:pPr>
            <w:r w:rsidRPr="00D87441">
              <w:rPr>
                <w:rFonts w:asciiTheme="minorHAnsi" w:eastAsia="Times New Roman" w:hAnsiTheme="minorHAnsi" w:cs="Times New Roman"/>
                <w:color w:val="000000"/>
                <w:lang w:val="en-GB"/>
              </w:rPr>
              <w:t>Bangkok</w:t>
            </w:r>
          </w:p>
        </w:tc>
        <w:tc>
          <w:tcPr>
            <w:tcW w:w="1720" w:type="dxa"/>
            <w:vAlign w:val="center"/>
            <w:hideMark/>
          </w:tcPr>
          <w:p w:rsidR="00945F9B" w:rsidRPr="00D87441" w:rsidRDefault="00814631" w:rsidP="00047369">
            <w:pPr>
              <w:jc w:val="center"/>
              <w:cnfStyle w:val="000000010000"/>
              <w:rPr>
                <w:rFonts w:eastAsia="Times New Roman" w:cs="Times New Roman"/>
                <w:color w:val="000000"/>
                <w:lang w:val="en-GB"/>
              </w:rPr>
            </w:pPr>
            <w:r w:rsidRPr="00D87441">
              <w:rPr>
                <w:rFonts w:eastAsia="Times New Roman" w:cs="Times New Roman"/>
                <w:color w:val="000000"/>
                <w:lang w:val="en-GB"/>
              </w:rPr>
              <w:t>Resolution</w:t>
            </w:r>
            <w:r w:rsidR="00945F9B" w:rsidRPr="00D87441">
              <w:rPr>
                <w:rFonts w:eastAsia="Times New Roman" w:cs="Times New Roman"/>
                <w:color w:val="000000"/>
                <w:lang w:val="en-GB"/>
              </w:rPr>
              <w:t xml:space="preserve"> 012</w:t>
            </w:r>
          </w:p>
        </w:tc>
        <w:tc>
          <w:tcPr>
            <w:tcW w:w="2493" w:type="dxa"/>
            <w:vAlign w:val="center"/>
            <w:hideMark/>
          </w:tcPr>
          <w:p w:rsidR="00E6310E" w:rsidRPr="00D87441" w:rsidRDefault="00E6310E" w:rsidP="00681326">
            <w:pPr>
              <w:autoSpaceDE w:val="0"/>
              <w:autoSpaceDN w:val="0"/>
              <w:adjustRightInd w:val="0"/>
              <w:jc w:val="center"/>
              <w:cnfStyle w:val="000000010000"/>
              <w:rPr>
                <w:rFonts w:cs="TimesNewRomanPS-BoldMT"/>
                <w:lang w:val="en-GB" w:bidi="pa-IN"/>
              </w:rPr>
            </w:pPr>
            <w:r w:rsidRPr="00D87441">
              <w:rPr>
                <w:rFonts w:cs="TimesNewRomanPS-BoldMT"/>
                <w:lang w:val="en-GB" w:bidi="pa-IN"/>
              </w:rPr>
              <w:t>Governance of natural</w:t>
            </w:r>
          </w:p>
          <w:p w:rsidR="00E6310E" w:rsidRPr="00D87441" w:rsidRDefault="00E6310E" w:rsidP="00681326">
            <w:pPr>
              <w:autoSpaceDE w:val="0"/>
              <w:autoSpaceDN w:val="0"/>
              <w:adjustRightInd w:val="0"/>
              <w:jc w:val="center"/>
              <w:cnfStyle w:val="000000010000"/>
              <w:rPr>
                <w:rFonts w:cs="TimesNewRomanPS-BoldMT"/>
                <w:lang w:val="en-GB" w:bidi="pa-IN"/>
              </w:rPr>
            </w:pPr>
            <w:r w:rsidRPr="00D87441">
              <w:rPr>
                <w:rFonts w:cs="TimesNewRomanPS-BoldMT"/>
                <w:lang w:val="en-GB" w:bidi="pa-IN"/>
              </w:rPr>
              <w:t>resources for conservation</w:t>
            </w:r>
          </w:p>
          <w:p w:rsidR="00E6310E" w:rsidRPr="00D87441" w:rsidRDefault="00E6310E" w:rsidP="00681326">
            <w:pPr>
              <w:autoSpaceDE w:val="0"/>
              <w:autoSpaceDN w:val="0"/>
              <w:adjustRightInd w:val="0"/>
              <w:jc w:val="center"/>
              <w:cnfStyle w:val="000000010000"/>
              <w:rPr>
                <w:rFonts w:cs="TimesNewRomanPS-BoldMT"/>
                <w:lang w:val="en-GB" w:bidi="pa-IN"/>
              </w:rPr>
            </w:pPr>
            <w:r w:rsidRPr="00D87441">
              <w:rPr>
                <w:rFonts w:cs="TimesNewRomanPS-BoldMT"/>
                <w:lang w:val="en-GB" w:bidi="pa-IN"/>
              </w:rPr>
              <w:t>and sustainable</w:t>
            </w:r>
          </w:p>
          <w:p w:rsidR="00945F9B" w:rsidRPr="00D87441" w:rsidRDefault="00E6310E" w:rsidP="00681326">
            <w:pPr>
              <w:jc w:val="center"/>
              <w:cnfStyle w:val="000000010000"/>
              <w:rPr>
                <w:rFonts w:eastAsia="Times New Roman" w:cs="Times New Roman"/>
                <w:color w:val="000000"/>
                <w:lang w:val="en-GB"/>
              </w:rPr>
            </w:pPr>
            <w:r w:rsidRPr="00D87441">
              <w:rPr>
                <w:rFonts w:cs="TimesNewRomanPS-BoldMT"/>
                <w:lang w:val="en-GB" w:bidi="pa-IN"/>
              </w:rPr>
              <w:t>development</w:t>
            </w:r>
          </w:p>
        </w:tc>
        <w:tc>
          <w:tcPr>
            <w:tcW w:w="3167" w:type="dxa"/>
            <w:hideMark/>
          </w:tcPr>
          <w:p w:rsidR="00945F9B" w:rsidRPr="00D87441" w:rsidRDefault="00047369" w:rsidP="00681326">
            <w:pPr>
              <w:cnfStyle w:val="000000010000"/>
              <w:rPr>
                <w:rFonts w:eastAsia="Times New Roman" w:cs="Times New Roman"/>
                <w:bCs/>
                <w:color w:val="000000"/>
                <w:lang w:val="en-GB"/>
              </w:rPr>
            </w:pPr>
            <w:r w:rsidRPr="00D87441">
              <w:rPr>
                <w:rFonts w:eastAsia="Times New Roman" w:cs="Times New Roman"/>
                <w:bCs/>
                <w:color w:val="000000"/>
                <w:lang w:val="en-GB"/>
              </w:rPr>
              <w:t>Defini</w:t>
            </w:r>
            <w:r w:rsidR="00681326" w:rsidRPr="00D87441">
              <w:rPr>
                <w:rFonts w:eastAsia="Times New Roman" w:cs="Times New Roman"/>
                <w:bCs/>
                <w:color w:val="000000"/>
                <w:lang w:val="en-GB"/>
              </w:rPr>
              <w:t>tion, principles, typology and focuses of governance</w:t>
            </w:r>
            <w:r w:rsidRPr="00D87441">
              <w:rPr>
                <w:rFonts w:eastAsia="Times New Roman" w:cs="Times New Roman"/>
                <w:bCs/>
                <w:color w:val="000000"/>
                <w:lang w:val="en-GB"/>
              </w:rPr>
              <w:t>.</w:t>
            </w:r>
          </w:p>
        </w:tc>
      </w:tr>
    </w:tbl>
    <w:p w:rsidR="00F8106B" w:rsidRPr="00D87441" w:rsidRDefault="00F8106B" w:rsidP="00647929">
      <w:pPr>
        <w:jc w:val="both"/>
        <w:rPr>
          <w:b/>
          <w:color w:val="FF0000"/>
          <w:lang w:val="en-GB"/>
        </w:rPr>
      </w:pPr>
    </w:p>
    <w:p w:rsidR="00CF1D01" w:rsidRPr="00D87441" w:rsidRDefault="00CF1D01" w:rsidP="005A07A0">
      <w:pPr>
        <w:jc w:val="both"/>
        <w:rPr>
          <w:lang w:val="en-GB"/>
        </w:rPr>
      </w:pPr>
    </w:p>
    <w:sectPr w:rsidR="00CF1D01" w:rsidRPr="00D87441" w:rsidSect="00406D50">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82B" w:rsidRDefault="0018182B" w:rsidP="004E0801">
      <w:pPr>
        <w:spacing w:after="0" w:line="240" w:lineRule="auto"/>
      </w:pPr>
      <w:r>
        <w:separator/>
      </w:r>
    </w:p>
  </w:endnote>
  <w:endnote w:type="continuationSeparator" w:id="0">
    <w:p w:rsidR="0018182B" w:rsidRDefault="0018182B" w:rsidP="004E0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6976"/>
      <w:gridCol w:w="1744"/>
    </w:tblGrid>
    <w:sdt>
      <w:sdtPr>
        <w:rPr>
          <w:rFonts w:asciiTheme="majorHAnsi" w:eastAsiaTheme="majorEastAsia" w:hAnsiTheme="majorHAnsi" w:cstheme="majorBidi"/>
          <w:sz w:val="20"/>
          <w:szCs w:val="20"/>
        </w:rPr>
        <w:id w:val="1734743361"/>
        <w:docPartObj>
          <w:docPartGallery w:val="Page Numbers (Bottom of Page)"/>
          <w:docPartUnique/>
        </w:docPartObj>
      </w:sdtPr>
      <w:sdtEndPr>
        <w:rPr>
          <w:rFonts w:asciiTheme="minorHAnsi" w:eastAsiaTheme="minorEastAsia" w:hAnsiTheme="minorHAnsi" w:cstheme="minorBidi"/>
          <w:sz w:val="22"/>
          <w:szCs w:val="22"/>
        </w:rPr>
      </w:sdtEndPr>
      <w:sdtContent>
        <w:tr w:rsidR="009A25D3">
          <w:trPr>
            <w:trHeight w:val="727"/>
          </w:trPr>
          <w:tc>
            <w:tcPr>
              <w:tcW w:w="4000" w:type="pct"/>
              <w:tcBorders>
                <w:right w:val="triple" w:sz="4" w:space="0" w:color="4F81BD" w:themeColor="accent1"/>
              </w:tcBorders>
            </w:tcPr>
            <w:p w:rsidR="009A25D3" w:rsidRDefault="009A25D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A25D3" w:rsidRDefault="00AE0EBB">
              <w:pPr>
                <w:tabs>
                  <w:tab w:val="left" w:pos="1490"/>
                </w:tabs>
                <w:rPr>
                  <w:rFonts w:asciiTheme="majorHAnsi" w:eastAsiaTheme="majorEastAsia" w:hAnsiTheme="majorHAnsi" w:cstheme="majorBidi"/>
                  <w:sz w:val="28"/>
                  <w:szCs w:val="28"/>
                </w:rPr>
              </w:pPr>
              <w:fldSimple w:instr="PAGE    \* MERGEFORMAT">
                <w:r w:rsidR="00DD3565">
                  <w:rPr>
                    <w:noProof/>
                  </w:rPr>
                  <w:t>1</w:t>
                </w:r>
              </w:fldSimple>
            </w:p>
          </w:tc>
        </w:tr>
      </w:sdtContent>
    </w:sdt>
  </w:tbl>
  <w:p w:rsidR="009A25D3" w:rsidRDefault="009A25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82B" w:rsidRDefault="0018182B" w:rsidP="004E0801">
      <w:pPr>
        <w:spacing w:after="0" w:line="240" w:lineRule="auto"/>
      </w:pPr>
      <w:r>
        <w:separator/>
      </w:r>
    </w:p>
  </w:footnote>
  <w:footnote w:type="continuationSeparator" w:id="0">
    <w:p w:rsidR="0018182B" w:rsidRDefault="0018182B" w:rsidP="004E0801">
      <w:pPr>
        <w:spacing w:after="0" w:line="240" w:lineRule="auto"/>
      </w:pPr>
      <w:r>
        <w:continuationSeparator/>
      </w:r>
    </w:p>
  </w:footnote>
  <w:footnote w:id="1">
    <w:p w:rsidR="009A25D3" w:rsidRPr="0090577B" w:rsidRDefault="009A25D3" w:rsidP="00665DDB">
      <w:pPr>
        <w:pStyle w:val="Textonotapie"/>
        <w:jc w:val="both"/>
      </w:pPr>
      <w:r>
        <w:rPr>
          <w:rStyle w:val="Refdenotaalpie"/>
        </w:rPr>
        <w:footnoteRef/>
      </w:r>
      <w:r w:rsidRPr="00665DDB">
        <w:rPr>
          <w:lang w:val="en-US"/>
        </w:rPr>
        <w:t xml:space="preserve"> </w:t>
      </w:r>
      <w:proofErr w:type="gramStart"/>
      <w:r w:rsidRPr="00665DDB">
        <w:rPr>
          <w:lang w:val="en-US"/>
        </w:rPr>
        <w:t>UNESCAP.</w:t>
      </w:r>
      <w:proofErr w:type="gramEnd"/>
      <w:r w:rsidRPr="00665DDB">
        <w:rPr>
          <w:lang w:val="en-US"/>
        </w:rPr>
        <w:t xml:space="preserve"> </w:t>
      </w:r>
      <w:r w:rsidRPr="00A46275">
        <w:rPr>
          <w:i/>
          <w:lang w:val="en-US"/>
        </w:rPr>
        <w:t>What is Good Governance?</w:t>
      </w:r>
      <w:r w:rsidRPr="00665DDB">
        <w:rPr>
          <w:lang w:val="en-US"/>
        </w:rPr>
        <w:t xml:space="preserve"> </w:t>
      </w:r>
      <w:hyperlink r:id="rId1" w:history="1">
        <w:r w:rsidRPr="0090577B">
          <w:rPr>
            <w:rStyle w:val="Hipervnculo"/>
          </w:rPr>
          <w:t>http://www.unescap.org/sites/default/files/good-governance.pdf</w:t>
        </w:r>
      </w:hyperlink>
      <w:r w:rsidRPr="0090577B">
        <w:t xml:space="preserve"> </w:t>
      </w:r>
    </w:p>
  </w:footnote>
  <w:footnote w:id="2">
    <w:p w:rsidR="009A25D3" w:rsidRDefault="009A25D3" w:rsidP="00665DDB">
      <w:pPr>
        <w:pStyle w:val="Textonotapie"/>
        <w:jc w:val="both"/>
      </w:pPr>
      <w:r>
        <w:rPr>
          <w:rStyle w:val="Refdenotaalpie"/>
        </w:rPr>
        <w:footnoteRef/>
      </w:r>
      <w:r>
        <w:t xml:space="preserve"> </w:t>
      </w:r>
      <w:proofErr w:type="spellStart"/>
      <w:r w:rsidRPr="00665DDB">
        <w:t>Pazmiño</w:t>
      </w:r>
      <w:proofErr w:type="spellEnd"/>
      <w:r w:rsidRPr="00665DDB">
        <w:t xml:space="preserve"> Montero, </w:t>
      </w:r>
      <w:proofErr w:type="spellStart"/>
      <w:r w:rsidRPr="00665DDB">
        <w:t>Aracely</w:t>
      </w:r>
      <w:proofErr w:type="spellEnd"/>
      <w:r w:rsidRPr="00665DDB">
        <w:t xml:space="preserve"> (2013). “Aprendiendo sobre gobernanza”. Moreno R., Verónica (ed.). </w:t>
      </w:r>
      <w:r w:rsidRPr="00665DDB">
        <w:rPr>
          <w:i/>
        </w:rPr>
        <w:t>Conservación Ahora</w:t>
      </w:r>
      <w:r w:rsidRPr="00665DDB">
        <w:t>. Pp. 17-19</w:t>
      </w:r>
      <w:r>
        <w:t xml:space="preserve">. </w:t>
      </w:r>
      <w:hyperlink r:id="rId2" w:history="1">
        <w:r w:rsidRPr="00F72C82">
          <w:rPr>
            <w:rStyle w:val="Hipervnculo"/>
          </w:rPr>
          <w:t>http://cmsdata.iucn.org/downloads/revista_web_sur.pdf</w:t>
        </w:r>
      </w:hyperlink>
      <w:r>
        <w:t xml:space="preserve"> </w:t>
      </w:r>
    </w:p>
  </w:footnote>
  <w:footnote w:id="3">
    <w:p w:rsidR="009A25D3" w:rsidRPr="00B26692" w:rsidRDefault="009A25D3" w:rsidP="00B26692">
      <w:pPr>
        <w:pStyle w:val="Textonotapie"/>
        <w:jc w:val="both"/>
        <w:rPr>
          <w:lang w:val="en-US"/>
        </w:rPr>
      </w:pPr>
      <w:r>
        <w:rPr>
          <w:rStyle w:val="Refdenotaalpie"/>
        </w:rPr>
        <w:footnoteRef/>
      </w:r>
      <w:r>
        <w:t xml:space="preserve"> </w:t>
      </w:r>
      <w:proofErr w:type="spellStart"/>
      <w:r w:rsidRPr="00B26692">
        <w:t>Dudley</w:t>
      </w:r>
      <w:proofErr w:type="spellEnd"/>
      <w:r w:rsidRPr="00B26692">
        <w:t xml:space="preserve">, </w:t>
      </w:r>
      <w:proofErr w:type="spellStart"/>
      <w:r w:rsidRPr="00B26692">
        <w:t>Nigel</w:t>
      </w:r>
      <w:proofErr w:type="spellEnd"/>
      <w:r w:rsidRPr="00B26692">
        <w:t xml:space="preserve"> (ed.) (2008). Directrices para la aplicación de las categorías de gestión de áreas protegidas. </w:t>
      </w:r>
      <w:r w:rsidRPr="00B26692">
        <w:rPr>
          <w:lang w:val="en-US"/>
        </w:rPr>
        <w:t>Gland, S</w:t>
      </w:r>
      <w:r w:rsidR="00DD3565">
        <w:rPr>
          <w:lang w:val="en-US"/>
        </w:rPr>
        <w:t>witzerland</w:t>
      </w:r>
      <w:r w:rsidRPr="00B26692">
        <w:rPr>
          <w:lang w:val="en-US"/>
        </w:rPr>
        <w:t xml:space="preserve">: </w:t>
      </w:r>
      <w:r w:rsidR="00DD3565">
        <w:rPr>
          <w:lang w:val="en-US"/>
        </w:rPr>
        <w:t>I</w:t>
      </w:r>
      <w:r w:rsidRPr="00B26692">
        <w:rPr>
          <w:lang w:val="en-US"/>
        </w:rPr>
        <w:t xml:space="preserve">UCN. Pp. 31-39. </w:t>
      </w:r>
      <w:hyperlink r:id="rId3" w:history="1">
        <w:r w:rsidRPr="00F72C82">
          <w:rPr>
            <w:rStyle w:val="Hipervnculo"/>
            <w:lang w:val="en-US"/>
          </w:rPr>
          <w:t>https://portals.iucn.org/library/efiles/documents/PAPS-016-Es.pdf</w:t>
        </w:r>
      </w:hyperlink>
      <w:r>
        <w:rPr>
          <w:lang w:val="en-US"/>
        </w:rPr>
        <w:t xml:space="preserve"> </w:t>
      </w:r>
    </w:p>
  </w:footnote>
  <w:footnote w:id="4">
    <w:p w:rsidR="009A25D3" w:rsidRDefault="009A25D3" w:rsidP="00ED4A30">
      <w:pPr>
        <w:pStyle w:val="Textonotapie"/>
        <w:jc w:val="both"/>
      </w:pPr>
      <w:r>
        <w:rPr>
          <w:rStyle w:val="Refdenotaalpie"/>
        </w:rPr>
        <w:footnoteRef/>
      </w:r>
      <w:r>
        <w:t xml:space="preserve"> UICN (2004). </w:t>
      </w:r>
      <w:r w:rsidRPr="00B67A0C">
        <w:rPr>
          <w:i/>
        </w:rPr>
        <w:t>El programa 2005-2008 de la UICN. Muchas voces, una tierra</w:t>
      </w:r>
      <w:r>
        <w:t xml:space="preserve">. </w:t>
      </w:r>
      <w:hyperlink r:id="rId4" w:history="1">
        <w:r w:rsidRPr="00F72C82">
          <w:rPr>
            <w:rStyle w:val="Hipervnculo"/>
          </w:rPr>
          <w:t>http://cmsdata.iucn.org/downloads/programme_spanish.pdf</w:t>
        </w:r>
      </w:hyperlink>
      <w:r>
        <w:t xml:space="preserve"> </w:t>
      </w:r>
    </w:p>
  </w:footnote>
  <w:footnote w:id="5">
    <w:p w:rsidR="009A25D3" w:rsidRDefault="009A25D3" w:rsidP="00ED4A30">
      <w:pPr>
        <w:pStyle w:val="Textonotapie"/>
        <w:jc w:val="both"/>
      </w:pPr>
      <w:r>
        <w:rPr>
          <w:rStyle w:val="Refdenotaalpie"/>
        </w:rPr>
        <w:footnoteRef/>
      </w:r>
      <w:r>
        <w:t xml:space="preserve"> UICN (2008). </w:t>
      </w:r>
      <w:r w:rsidRPr="00ED4A30">
        <w:rPr>
          <w:i/>
        </w:rPr>
        <w:t>Diseñando un futuro sostenible. Programa de la UICN 2009–2012</w:t>
      </w:r>
      <w:r>
        <w:t xml:space="preserve">. </w:t>
      </w:r>
      <w:hyperlink r:id="rId5" w:history="1">
        <w:r w:rsidRPr="00F72C82">
          <w:rPr>
            <w:rStyle w:val="Hipervnculo"/>
          </w:rPr>
          <w:t>http://cmsdata.iucn.org/downloads/iucn_programme_2009_2012_dfc_es.pdf</w:t>
        </w:r>
      </w:hyperlink>
      <w:r>
        <w:t xml:space="preserve"> </w:t>
      </w:r>
    </w:p>
  </w:footnote>
  <w:footnote w:id="6">
    <w:p w:rsidR="009A25D3" w:rsidRDefault="009A25D3" w:rsidP="004D67D3">
      <w:pPr>
        <w:pStyle w:val="Textonotapie"/>
        <w:jc w:val="both"/>
      </w:pPr>
      <w:r>
        <w:rPr>
          <w:rStyle w:val="Refdenotaalpie"/>
        </w:rPr>
        <w:footnoteRef/>
      </w:r>
      <w:r>
        <w:t xml:space="preserve"> UICN (2012). </w:t>
      </w:r>
      <w:r w:rsidRPr="004D67D3">
        <w:rPr>
          <w:i/>
        </w:rPr>
        <w:t>Programa de la UICN 2013-2016</w:t>
      </w:r>
      <w:r>
        <w:t xml:space="preserve">. </w:t>
      </w:r>
      <w:hyperlink r:id="rId6" w:history="1">
        <w:r w:rsidRPr="00F72C82">
          <w:rPr>
            <w:rStyle w:val="Hipervnculo"/>
          </w:rPr>
          <w:t>http://cmsdata.iucn.org/downloads/programa_de_la_uicn_2013_2016_final_29_nov_12.pdf</w:t>
        </w:r>
      </w:hyperlink>
      <w:r>
        <w:t xml:space="preserve"> </w:t>
      </w:r>
    </w:p>
  </w:footnote>
  <w:footnote w:id="7">
    <w:p w:rsidR="009A25D3" w:rsidRPr="00814631" w:rsidRDefault="009A25D3" w:rsidP="00B911FC">
      <w:pPr>
        <w:pStyle w:val="Textonotapie"/>
        <w:jc w:val="both"/>
        <w:rPr>
          <w:lang w:val="en-GB"/>
        </w:rPr>
      </w:pPr>
      <w:r w:rsidRPr="00814631">
        <w:rPr>
          <w:rStyle w:val="Refdenotaalpie"/>
          <w:lang w:val="en-GB"/>
        </w:rPr>
        <w:footnoteRef/>
      </w:r>
      <w:r w:rsidRPr="00814631">
        <w:rPr>
          <w:lang w:val="en-GB"/>
        </w:rPr>
        <w:t xml:space="preserve"> Available for consultation at: </w:t>
      </w:r>
      <w:hyperlink r:id="rId7" w:history="1">
        <w:r w:rsidRPr="00814631">
          <w:rPr>
            <w:rStyle w:val="Hipervnculo"/>
            <w:lang w:val="en-GB"/>
          </w:rPr>
          <w:t>https://portals.iucn.org/library</w:t>
        </w:r>
      </w:hyperlink>
      <w:r w:rsidRPr="00814631">
        <w:rPr>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1334"/>
    <w:multiLevelType w:val="hybridMultilevel"/>
    <w:tmpl w:val="D40A05F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A24AF78"/>
    <w:multiLevelType w:val="hybridMultilevel"/>
    <w:tmpl w:val="3125B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E6259B4"/>
    <w:multiLevelType w:val="hybridMultilevel"/>
    <w:tmpl w:val="257C90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7DE237B"/>
    <w:multiLevelType w:val="hybridMultilevel"/>
    <w:tmpl w:val="D83627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E245F5"/>
    <w:multiLevelType w:val="hybridMultilevel"/>
    <w:tmpl w:val="285E1882"/>
    <w:lvl w:ilvl="0" w:tplc="B516A4BC">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27612"/>
    <w:rsid w:val="00026DAC"/>
    <w:rsid w:val="00047369"/>
    <w:rsid w:val="00050605"/>
    <w:rsid w:val="00077BA3"/>
    <w:rsid w:val="0009547F"/>
    <w:rsid w:val="000A7B5C"/>
    <w:rsid w:val="000C1695"/>
    <w:rsid w:val="000C39AC"/>
    <w:rsid w:val="000D2DFF"/>
    <w:rsid w:val="000F1351"/>
    <w:rsid w:val="000F5927"/>
    <w:rsid w:val="00112BAE"/>
    <w:rsid w:val="00127612"/>
    <w:rsid w:val="00133B82"/>
    <w:rsid w:val="0014345D"/>
    <w:rsid w:val="001434B8"/>
    <w:rsid w:val="00154698"/>
    <w:rsid w:val="001549CE"/>
    <w:rsid w:val="00165904"/>
    <w:rsid w:val="0018182B"/>
    <w:rsid w:val="00184B04"/>
    <w:rsid w:val="00203298"/>
    <w:rsid w:val="00206CEB"/>
    <w:rsid w:val="00211D67"/>
    <w:rsid w:val="00212150"/>
    <w:rsid w:val="00221913"/>
    <w:rsid w:val="00222913"/>
    <w:rsid w:val="002231FD"/>
    <w:rsid w:val="00231668"/>
    <w:rsid w:val="00296004"/>
    <w:rsid w:val="002C464D"/>
    <w:rsid w:val="002E1773"/>
    <w:rsid w:val="002E3561"/>
    <w:rsid w:val="002E715F"/>
    <w:rsid w:val="002F0F8D"/>
    <w:rsid w:val="002F16EB"/>
    <w:rsid w:val="002F225E"/>
    <w:rsid w:val="003116D2"/>
    <w:rsid w:val="00317EDA"/>
    <w:rsid w:val="003248D2"/>
    <w:rsid w:val="00337ECD"/>
    <w:rsid w:val="003430CC"/>
    <w:rsid w:val="00362ED0"/>
    <w:rsid w:val="00377FB8"/>
    <w:rsid w:val="003804B2"/>
    <w:rsid w:val="003857D3"/>
    <w:rsid w:val="003A2A8F"/>
    <w:rsid w:val="003D1EE1"/>
    <w:rsid w:val="003D4F41"/>
    <w:rsid w:val="003F7E63"/>
    <w:rsid w:val="00406D50"/>
    <w:rsid w:val="004145B6"/>
    <w:rsid w:val="0044015C"/>
    <w:rsid w:val="004508D9"/>
    <w:rsid w:val="00463F46"/>
    <w:rsid w:val="00475D68"/>
    <w:rsid w:val="004762BA"/>
    <w:rsid w:val="00476ACE"/>
    <w:rsid w:val="00482931"/>
    <w:rsid w:val="00482F76"/>
    <w:rsid w:val="004A487B"/>
    <w:rsid w:val="004C1684"/>
    <w:rsid w:val="004D67D3"/>
    <w:rsid w:val="004E0801"/>
    <w:rsid w:val="00542289"/>
    <w:rsid w:val="005A07A0"/>
    <w:rsid w:val="005B4BBF"/>
    <w:rsid w:val="005B6BC6"/>
    <w:rsid w:val="005C176A"/>
    <w:rsid w:val="005D05E7"/>
    <w:rsid w:val="005D6F66"/>
    <w:rsid w:val="00637BA5"/>
    <w:rsid w:val="00647929"/>
    <w:rsid w:val="00650065"/>
    <w:rsid w:val="00653270"/>
    <w:rsid w:val="00655AA5"/>
    <w:rsid w:val="00665DDB"/>
    <w:rsid w:val="00670F0C"/>
    <w:rsid w:val="00681326"/>
    <w:rsid w:val="006A2932"/>
    <w:rsid w:val="006A59A1"/>
    <w:rsid w:val="006C6589"/>
    <w:rsid w:val="00712E47"/>
    <w:rsid w:val="00761C61"/>
    <w:rsid w:val="00793A86"/>
    <w:rsid w:val="00795647"/>
    <w:rsid w:val="007A27C3"/>
    <w:rsid w:val="007A5B47"/>
    <w:rsid w:val="007D1E6C"/>
    <w:rsid w:val="007E4F71"/>
    <w:rsid w:val="007E6A6A"/>
    <w:rsid w:val="007E76BF"/>
    <w:rsid w:val="007F2C52"/>
    <w:rsid w:val="00810669"/>
    <w:rsid w:val="00814631"/>
    <w:rsid w:val="00817855"/>
    <w:rsid w:val="008366FE"/>
    <w:rsid w:val="00864835"/>
    <w:rsid w:val="008771DE"/>
    <w:rsid w:val="00892ACC"/>
    <w:rsid w:val="008A2694"/>
    <w:rsid w:val="008B0350"/>
    <w:rsid w:val="008B7EED"/>
    <w:rsid w:val="008C357F"/>
    <w:rsid w:val="008F49C2"/>
    <w:rsid w:val="0090577B"/>
    <w:rsid w:val="00906024"/>
    <w:rsid w:val="00907D81"/>
    <w:rsid w:val="009327B6"/>
    <w:rsid w:val="009437F3"/>
    <w:rsid w:val="00945F9B"/>
    <w:rsid w:val="009537FA"/>
    <w:rsid w:val="00965E50"/>
    <w:rsid w:val="00967897"/>
    <w:rsid w:val="009A25D3"/>
    <w:rsid w:val="009A736C"/>
    <w:rsid w:val="009C2A0E"/>
    <w:rsid w:val="009E6E09"/>
    <w:rsid w:val="009F6E38"/>
    <w:rsid w:val="00A44E32"/>
    <w:rsid w:val="00A46275"/>
    <w:rsid w:val="00AA29E1"/>
    <w:rsid w:val="00AE0EBB"/>
    <w:rsid w:val="00AF6B9F"/>
    <w:rsid w:val="00B014D8"/>
    <w:rsid w:val="00B26692"/>
    <w:rsid w:val="00B302BB"/>
    <w:rsid w:val="00B55093"/>
    <w:rsid w:val="00B67A0C"/>
    <w:rsid w:val="00B81FC9"/>
    <w:rsid w:val="00B911FC"/>
    <w:rsid w:val="00BA74A8"/>
    <w:rsid w:val="00BD23AC"/>
    <w:rsid w:val="00BF51CD"/>
    <w:rsid w:val="00C039E4"/>
    <w:rsid w:val="00C1110D"/>
    <w:rsid w:val="00C9432B"/>
    <w:rsid w:val="00CD3E2C"/>
    <w:rsid w:val="00CE252D"/>
    <w:rsid w:val="00CF1D01"/>
    <w:rsid w:val="00D1399C"/>
    <w:rsid w:val="00D407F1"/>
    <w:rsid w:val="00D508B3"/>
    <w:rsid w:val="00D64E5E"/>
    <w:rsid w:val="00D77AAF"/>
    <w:rsid w:val="00D86EF6"/>
    <w:rsid w:val="00D87441"/>
    <w:rsid w:val="00DD3565"/>
    <w:rsid w:val="00DE4BE8"/>
    <w:rsid w:val="00DF0FA4"/>
    <w:rsid w:val="00DF43C3"/>
    <w:rsid w:val="00E32B3E"/>
    <w:rsid w:val="00E6310E"/>
    <w:rsid w:val="00E7624D"/>
    <w:rsid w:val="00E81A6A"/>
    <w:rsid w:val="00E82B30"/>
    <w:rsid w:val="00E95410"/>
    <w:rsid w:val="00E9599D"/>
    <w:rsid w:val="00EC397D"/>
    <w:rsid w:val="00EC49BE"/>
    <w:rsid w:val="00ED4A30"/>
    <w:rsid w:val="00EE07EE"/>
    <w:rsid w:val="00EF3016"/>
    <w:rsid w:val="00F12C75"/>
    <w:rsid w:val="00F8106B"/>
    <w:rsid w:val="00F86368"/>
    <w:rsid w:val="00FA5639"/>
    <w:rsid w:val="00FD77BF"/>
  </w:rsids>
  <m:mathPr>
    <m:mathFont m:val="Cambria Math"/>
    <m:brkBin m:val="before"/>
    <m:brkBinSub m:val="--"/>
    <m:smallFrac m:val="off"/>
    <m:dispDef/>
    <m:lMargin m:val="0"/>
    <m:rMargin m:val="0"/>
    <m:defJc m:val="centerGroup"/>
    <m:wrapIndent m:val="1440"/>
    <m:intLim m:val="subSup"/>
    <m:naryLim m:val="undOvr"/>
  </m:mathPr>
  <w:themeFontLang w:val="es-ES"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612"/>
    <w:rPr>
      <w:color w:val="0000FF"/>
      <w:u w:val="single"/>
    </w:rPr>
  </w:style>
  <w:style w:type="character" w:styleId="Hipervnculovisitado">
    <w:name w:val="FollowedHyperlink"/>
    <w:basedOn w:val="Fuentedeprrafopredeter"/>
    <w:uiPriority w:val="99"/>
    <w:semiHidden/>
    <w:unhideWhenUsed/>
    <w:rsid w:val="00E7624D"/>
    <w:rPr>
      <w:color w:val="800080" w:themeColor="followedHyperlink"/>
      <w:u w:val="single"/>
    </w:rPr>
  </w:style>
  <w:style w:type="paragraph" w:styleId="Prrafodelista">
    <w:name w:val="List Paragraph"/>
    <w:basedOn w:val="Normal"/>
    <w:uiPriority w:val="34"/>
    <w:qFormat/>
    <w:rsid w:val="005A07A0"/>
    <w:pPr>
      <w:ind w:left="720"/>
      <w:contextualSpacing/>
    </w:pPr>
  </w:style>
  <w:style w:type="paragraph" w:customStyle="1" w:styleId="Default">
    <w:name w:val="Default"/>
    <w:rsid w:val="002F16E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6479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7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929"/>
    <w:rPr>
      <w:rFonts w:ascii="Tahoma" w:hAnsi="Tahoma" w:cs="Tahoma"/>
      <w:sz w:val="16"/>
      <w:szCs w:val="16"/>
    </w:rPr>
  </w:style>
  <w:style w:type="paragraph" w:styleId="Textonotapie">
    <w:name w:val="footnote text"/>
    <w:basedOn w:val="Normal"/>
    <w:link w:val="TextonotapieCar"/>
    <w:uiPriority w:val="99"/>
    <w:unhideWhenUsed/>
    <w:rsid w:val="004E0801"/>
    <w:pPr>
      <w:spacing w:after="0" w:line="240" w:lineRule="auto"/>
    </w:pPr>
    <w:rPr>
      <w:sz w:val="20"/>
      <w:szCs w:val="20"/>
    </w:rPr>
  </w:style>
  <w:style w:type="character" w:customStyle="1" w:styleId="TextonotapieCar">
    <w:name w:val="Texto nota pie Car"/>
    <w:basedOn w:val="Fuentedeprrafopredeter"/>
    <w:link w:val="Textonotapie"/>
    <w:uiPriority w:val="99"/>
    <w:rsid w:val="004E0801"/>
    <w:rPr>
      <w:sz w:val="20"/>
      <w:szCs w:val="20"/>
    </w:rPr>
  </w:style>
  <w:style w:type="character" w:styleId="Refdenotaalpie">
    <w:name w:val="footnote reference"/>
    <w:basedOn w:val="Fuentedeprrafopredeter"/>
    <w:uiPriority w:val="99"/>
    <w:semiHidden/>
    <w:unhideWhenUsed/>
    <w:rsid w:val="004E0801"/>
    <w:rPr>
      <w:vertAlign w:val="superscript"/>
    </w:rPr>
  </w:style>
  <w:style w:type="paragraph" w:styleId="Encabezado">
    <w:name w:val="header"/>
    <w:basedOn w:val="Normal"/>
    <w:link w:val="EncabezadoCar"/>
    <w:uiPriority w:val="99"/>
    <w:unhideWhenUsed/>
    <w:rsid w:val="008A26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694"/>
  </w:style>
  <w:style w:type="paragraph" w:styleId="Piedepgina">
    <w:name w:val="footer"/>
    <w:basedOn w:val="Normal"/>
    <w:link w:val="PiedepginaCar"/>
    <w:uiPriority w:val="99"/>
    <w:unhideWhenUsed/>
    <w:rsid w:val="008A26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694"/>
  </w:style>
  <w:style w:type="table" w:styleId="Sombreadoclaro-nfasis1">
    <w:name w:val="Light Shading Accent 1"/>
    <w:basedOn w:val="Tablanormal"/>
    <w:uiPriority w:val="60"/>
    <w:rsid w:val="006500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65006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65006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6500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2-nfasis1">
    <w:name w:val="Medium List 2 Accent 1"/>
    <w:basedOn w:val="Tablanormal"/>
    <w:uiPriority w:val="66"/>
    <w:rsid w:val="0065006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612"/>
    <w:rPr>
      <w:color w:val="0000FF"/>
      <w:u w:val="single"/>
    </w:rPr>
  </w:style>
  <w:style w:type="character" w:styleId="Hipervnculovisitado">
    <w:name w:val="FollowedHyperlink"/>
    <w:basedOn w:val="Fuentedeprrafopredeter"/>
    <w:uiPriority w:val="99"/>
    <w:semiHidden/>
    <w:unhideWhenUsed/>
    <w:rsid w:val="00E7624D"/>
    <w:rPr>
      <w:color w:val="800080" w:themeColor="followedHyperlink"/>
      <w:u w:val="single"/>
    </w:rPr>
  </w:style>
  <w:style w:type="paragraph" w:styleId="Prrafodelista">
    <w:name w:val="List Paragraph"/>
    <w:basedOn w:val="Normal"/>
    <w:uiPriority w:val="34"/>
    <w:qFormat/>
    <w:rsid w:val="005A07A0"/>
    <w:pPr>
      <w:ind w:left="720"/>
      <w:contextualSpacing/>
    </w:pPr>
  </w:style>
  <w:style w:type="paragraph" w:customStyle="1" w:styleId="Default">
    <w:name w:val="Default"/>
    <w:rsid w:val="002F16E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647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7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929"/>
    <w:rPr>
      <w:rFonts w:ascii="Tahoma" w:hAnsi="Tahoma" w:cs="Tahoma"/>
      <w:sz w:val="16"/>
      <w:szCs w:val="16"/>
    </w:rPr>
  </w:style>
  <w:style w:type="paragraph" w:styleId="Textonotapie">
    <w:name w:val="footnote text"/>
    <w:basedOn w:val="Normal"/>
    <w:link w:val="TextonotapieCar"/>
    <w:uiPriority w:val="99"/>
    <w:unhideWhenUsed/>
    <w:rsid w:val="004E0801"/>
    <w:pPr>
      <w:spacing w:after="0" w:line="240" w:lineRule="auto"/>
    </w:pPr>
    <w:rPr>
      <w:sz w:val="20"/>
      <w:szCs w:val="20"/>
    </w:rPr>
  </w:style>
  <w:style w:type="character" w:customStyle="1" w:styleId="TextonotapieCar">
    <w:name w:val="Texto nota pie Car"/>
    <w:basedOn w:val="Fuentedeprrafopredeter"/>
    <w:link w:val="Textonotapie"/>
    <w:uiPriority w:val="99"/>
    <w:rsid w:val="004E0801"/>
    <w:rPr>
      <w:sz w:val="20"/>
      <w:szCs w:val="20"/>
    </w:rPr>
  </w:style>
  <w:style w:type="character" w:styleId="Refdenotaalpie">
    <w:name w:val="footnote reference"/>
    <w:basedOn w:val="Fuentedeprrafopredeter"/>
    <w:uiPriority w:val="99"/>
    <w:semiHidden/>
    <w:unhideWhenUsed/>
    <w:rsid w:val="004E0801"/>
    <w:rPr>
      <w:vertAlign w:val="superscript"/>
    </w:rPr>
  </w:style>
  <w:style w:type="paragraph" w:styleId="Encabezado">
    <w:name w:val="header"/>
    <w:basedOn w:val="Normal"/>
    <w:link w:val="EncabezadoCar"/>
    <w:uiPriority w:val="99"/>
    <w:unhideWhenUsed/>
    <w:rsid w:val="008A26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694"/>
  </w:style>
  <w:style w:type="paragraph" w:styleId="Piedepgina">
    <w:name w:val="footer"/>
    <w:basedOn w:val="Normal"/>
    <w:link w:val="PiedepginaCar"/>
    <w:uiPriority w:val="99"/>
    <w:unhideWhenUsed/>
    <w:rsid w:val="008A26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694"/>
  </w:style>
  <w:style w:type="table" w:styleId="Sombreadoclaro-nfasis1">
    <w:name w:val="Light Shading Accent 1"/>
    <w:basedOn w:val="Tablanormal"/>
    <w:uiPriority w:val="60"/>
    <w:rsid w:val="0065006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6500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6500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65006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2-nfasis1">
    <w:name w:val="Medium List 2 Accent 1"/>
    <w:basedOn w:val="Tablanormal"/>
    <w:uiPriority w:val="66"/>
    <w:rsid w:val="006500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823099">
      <w:bodyDiv w:val="1"/>
      <w:marLeft w:val="0"/>
      <w:marRight w:val="0"/>
      <w:marTop w:val="0"/>
      <w:marBottom w:val="0"/>
      <w:divBdr>
        <w:top w:val="none" w:sz="0" w:space="0" w:color="auto"/>
        <w:left w:val="none" w:sz="0" w:space="0" w:color="auto"/>
        <w:bottom w:val="none" w:sz="0" w:space="0" w:color="auto"/>
        <w:right w:val="none" w:sz="0" w:space="0" w:color="auto"/>
      </w:divBdr>
    </w:div>
    <w:div w:id="32192292">
      <w:bodyDiv w:val="1"/>
      <w:marLeft w:val="0"/>
      <w:marRight w:val="0"/>
      <w:marTop w:val="0"/>
      <w:marBottom w:val="0"/>
      <w:divBdr>
        <w:top w:val="none" w:sz="0" w:space="0" w:color="auto"/>
        <w:left w:val="none" w:sz="0" w:space="0" w:color="auto"/>
        <w:bottom w:val="none" w:sz="0" w:space="0" w:color="auto"/>
        <w:right w:val="none" w:sz="0" w:space="0" w:color="auto"/>
      </w:divBdr>
      <w:divsChild>
        <w:div w:id="1357344467">
          <w:marLeft w:val="0"/>
          <w:marRight w:val="0"/>
          <w:marTop w:val="0"/>
          <w:marBottom w:val="0"/>
          <w:divBdr>
            <w:top w:val="none" w:sz="0" w:space="0" w:color="auto"/>
            <w:left w:val="none" w:sz="0" w:space="0" w:color="auto"/>
            <w:bottom w:val="none" w:sz="0" w:space="0" w:color="auto"/>
            <w:right w:val="none" w:sz="0" w:space="0" w:color="auto"/>
          </w:divBdr>
        </w:div>
        <w:div w:id="1205217523">
          <w:marLeft w:val="0"/>
          <w:marRight w:val="0"/>
          <w:marTop w:val="0"/>
          <w:marBottom w:val="0"/>
          <w:divBdr>
            <w:top w:val="none" w:sz="0" w:space="0" w:color="auto"/>
            <w:left w:val="none" w:sz="0" w:space="0" w:color="auto"/>
            <w:bottom w:val="none" w:sz="0" w:space="0" w:color="auto"/>
            <w:right w:val="none" w:sz="0" w:space="0" w:color="auto"/>
          </w:divBdr>
        </w:div>
      </w:divsChild>
    </w:div>
    <w:div w:id="185169986">
      <w:bodyDiv w:val="1"/>
      <w:marLeft w:val="0"/>
      <w:marRight w:val="0"/>
      <w:marTop w:val="0"/>
      <w:marBottom w:val="0"/>
      <w:divBdr>
        <w:top w:val="none" w:sz="0" w:space="0" w:color="auto"/>
        <w:left w:val="none" w:sz="0" w:space="0" w:color="auto"/>
        <w:bottom w:val="none" w:sz="0" w:space="0" w:color="auto"/>
        <w:right w:val="none" w:sz="0" w:space="0" w:color="auto"/>
      </w:divBdr>
    </w:div>
    <w:div w:id="216281089">
      <w:bodyDiv w:val="1"/>
      <w:marLeft w:val="0"/>
      <w:marRight w:val="0"/>
      <w:marTop w:val="0"/>
      <w:marBottom w:val="0"/>
      <w:divBdr>
        <w:top w:val="none" w:sz="0" w:space="0" w:color="auto"/>
        <w:left w:val="none" w:sz="0" w:space="0" w:color="auto"/>
        <w:bottom w:val="none" w:sz="0" w:space="0" w:color="auto"/>
        <w:right w:val="none" w:sz="0" w:space="0" w:color="auto"/>
      </w:divBdr>
    </w:div>
    <w:div w:id="359746599">
      <w:bodyDiv w:val="1"/>
      <w:marLeft w:val="0"/>
      <w:marRight w:val="0"/>
      <w:marTop w:val="0"/>
      <w:marBottom w:val="0"/>
      <w:divBdr>
        <w:top w:val="none" w:sz="0" w:space="0" w:color="auto"/>
        <w:left w:val="none" w:sz="0" w:space="0" w:color="auto"/>
        <w:bottom w:val="none" w:sz="0" w:space="0" w:color="auto"/>
        <w:right w:val="none" w:sz="0" w:space="0" w:color="auto"/>
      </w:divBdr>
    </w:div>
    <w:div w:id="433018932">
      <w:bodyDiv w:val="1"/>
      <w:marLeft w:val="0"/>
      <w:marRight w:val="0"/>
      <w:marTop w:val="0"/>
      <w:marBottom w:val="0"/>
      <w:divBdr>
        <w:top w:val="none" w:sz="0" w:space="0" w:color="auto"/>
        <w:left w:val="none" w:sz="0" w:space="0" w:color="auto"/>
        <w:bottom w:val="none" w:sz="0" w:space="0" w:color="auto"/>
        <w:right w:val="none" w:sz="0" w:space="0" w:color="auto"/>
      </w:divBdr>
      <w:divsChild>
        <w:div w:id="294527513">
          <w:marLeft w:val="0"/>
          <w:marRight w:val="0"/>
          <w:marTop w:val="0"/>
          <w:marBottom w:val="0"/>
          <w:divBdr>
            <w:top w:val="none" w:sz="0" w:space="0" w:color="auto"/>
            <w:left w:val="none" w:sz="0" w:space="0" w:color="auto"/>
            <w:bottom w:val="none" w:sz="0" w:space="0" w:color="auto"/>
            <w:right w:val="none" w:sz="0" w:space="0" w:color="auto"/>
          </w:divBdr>
        </w:div>
        <w:div w:id="723649373">
          <w:marLeft w:val="0"/>
          <w:marRight w:val="0"/>
          <w:marTop w:val="0"/>
          <w:marBottom w:val="0"/>
          <w:divBdr>
            <w:top w:val="none" w:sz="0" w:space="0" w:color="auto"/>
            <w:left w:val="none" w:sz="0" w:space="0" w:color="auto"/>
            <w:bottom w:val="none" w:sz="0" w:space="0" w:color="auto"/>
            <w:right w:val="none" w:sz="0" w:space="0" w:color="auto"/>
          </w:divBdr>
        </w:div>
      </w:divsChild>
    </w:div>
    <w:div w:id="895357665">
      <w:bodyDiv w:val="1"/>
      <w:marLeft w:val="0"/>
      <w:marRight w:val="0"/>
      <w:marTop w:val="0"/>
      <w:marBottom w:val="0"/>
      <w:divBdr>
        <w:top w:val="none" w:sz="0" w:space="0" w:color="auto"/>
        <w:left w:val="none" w:sz="0" w:space="0" w:color="auto"/>
        <w:bottom w:val="none" w:sz="0" w:space="0" w:color="auto"/>
        <w:right w:val="none" w:sz="0" w:space="0" w:color="auto"/>
      </w:divBdr>
      <w:divsChild>
        <w:div w:id="2043675518">
          <w:marLeft w:val="0"/>
          <w:marRight w:val="0"/>
          <w:marTop w:val="0"/>
          <w:marBottom w:val="0"/>
          <w:divBdr>
            <w:top w:val="none" w:sz="0" w:space="0" w:color="auto"/>
            <w:left w:val="none" w:sz="0" w:space="0" w:color="auto"/>
            <w:bottom w:val="none" w:sz="0" w:space="0" w:color="auto"/>
            <w:right w:val="none" w:sz="0" w:space="0" w:color="auto"/>
          </w:divBdr>
        </w:div>
        <w:div w:id="319889593">
          <w:marLeft w:val="0"/>
          <w:marRight w:val="0"/>
          <w:marTop w:val="0"/>
          <w:marBottom w:val="0"/>
          <w:divBdr>
            <w:top w:val="none" w:sz="0" w:space="0" w:color="auto"/>
            <w:left w:val="none" w:sz="0" w:space="0" w:color="auto"/>
            <w:bottom w:val="none" w:sz="0" w:space="0" w:color="auto"/>
            <w:right w:val="none" w:sz="0" w:space="0" w:color="auto"/>
          </w:divBdr>
        </w:div>
        <w:div w:id="1708334220">
          <w:marLeft w:val="0"/>
          <w:marRight w:val="0"/>
          <w:marTop w:val="0"/>
          <w:marBottom w:val="0"/>
          <w:divBdr>
            <w:top w:val="none" w:sz="0" w:space="0" w:color="auto"/>
            <w:left w:val="none" w:sz="0" w:space="0" w:color="auto"/>
            <w:bottom w:val="none" w:sz="0" w:space="0" w:color="auto"/>
            <w:right w:val="none" w:sz="0" w:space="0" w:color="auto"/>
          </w:divBdr>
        </w:div>
      </w:divsChild>
    </w:div>
    <w:div w:id="961763887">
      <w:bodyDiv w:val="1"/>
      <w:marLeft w:val="0"/>
      <w:marRight w:val="0"/>
      <w:marTop w:val="0"/>
      <w:marBottom w:val="0"/>
      <w:divBdr>
        <w:top w:val="none" w:sz="0" w:space="0" w:color="auto"/>
        <w:left w:val="none" w:sz="0" w:space="0" w:color="auto"/>
        <w:bottom w:val="none" w:sz="0" w:space="0" w:color="auto"/>
        <w:right w:val="none" w:sz="0" w:space="0" w:color="auto"/>
      </w:divBdr>
    </w:div>
    <w:div w:id="1610579153">
      <w:bodyDiv w:val="1"/>
      <w:marLeft w:val="0"/>
      <w:marRight w:val="0"/>
      <w:marTop w:val="0"/>
      <w:marBottom w:val="0"/>
      <w:divBdr>
        <w:top w:val="none" w:sz="0" w:space="0" w:color="auto"/>
        <w:left w:val="none" w:sz="0" w:space="0" w:color="auto"/>
        <w:bottom w:val="none" w:sz="0" w:space="0" w:color="auto"/>
        <w:right w:val="none" w:sz="0" w:space="0" w:color="auto"/>
      </w:divBdr>
      <w:divsChild>
        <w:div w:id="266425748">
          <w:marLeft w:val="0"/>
          <w:marRight w:val="0"/>
          <w:marTop w:val="0"/>
          <w:marBottom w:val="0"/>
          <w:divBdr>
            <w:top w:val="none" w:sz="0" w:space="0" w:color="auto"/>
            <w:left w:val="none" w:sz="0" w:space="0" w:color="auto"/>
            <w:bottom w:val="none" w:sz="0" w:space="0" w:color="auto"/>
            <w:right w:val="none" w:sz="0" w:space="0" w:color="auto"/>
          </w:divBdr>
        </w:div>
        <w:div w:id="81306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rtals.iucn.org/library/efiles/documents/PAPS-016-Es.pdf" TargetMode="External"/><Relationship Id="rId7" Type="http://schemas.openxmlformats.org/officeDocument/2006/relationships/hyperlink" Target="https://portals.iucn.org/library" TargetMode="External"/><Relationship Id="rId2" Type="http://schemas.openxmlformats.org/officeDocument/2006/relationships/hyperlink" Target="http://cmsdata.iucn.org/downloads/revista_web_sur.pdf" TargetMode="External"/><Relationship Id="rId1" Type="http://schemas.openxmlformats.org/officeDocument/2006/relationships/hyperlink" Target="http://www.unescap.org/sites/default/files/good-governance.pdf" TargetMode="External"/><Relationship Id="rId6" Type="http://schemas.openxmlformats.org/officeDocument/2006/relationships/hyperlink" Target="http://cmsdata.iucn.org/downloads/programa_de_la_uicn_2013_2016_final_29_nov_12.pdf" TargetMode="External"/><Relationship Id="rId5" Type="http://schemas.openxmlformats.org/officeDocument/2006/relationships/hyperlink" Target="http://cmsdata.iucn.org/downloads/iucn_programme_2009_2012_dfc_es.pdf" TargetMode="External"/><Relationship Id="rId4" Type="http://schemas.openxmlformats.org/officeDocument/2006/relationships/hyperlink" Target="http://cmsdata.iucn.org/downloads/programme_spanish.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tx>
            <c:strRef>
              <c:f>Tablas!$C$3</c:f>
              <c:strCache>
                <c:ptCount val="1"/>
                <c:pt idx="0">
                  <c:v>Resolutions</c:v>
                </c:pt>
              </c:strCache>
            </c:strRef>
          </c:tx>
          <c:spPr>
            <a:ln w="28575">
              <a:noFill/>
            </a:ln>
          </c:spPr>
          <c:dLbls>
            <c:txPr>
              <a:bodyPr/>
              <a:lstStyle/>
              <a:p>
                <a:pPr>
                  <a:defRPr sz="600"/>
                </a:pPr>
                <a:endParaRPr lang="es-ES"/>
              </a:p>
            </c:txPr>
            <c:dLblPos val="outEnd"/>
            <c:showVal val="1"/>
          </c:dLbls>
          <c:cat>
            <c:strRef>
              <c:f>Tablas!$B$4:$B$27</c:f>
              <c:strCache>
                <c:ptCount val="24"/>
                <c:pt idx="0">
                  <c:v>Fontainebleau (1948)</c:v>
                </c:pt>
                <c:pt idx="1">
                  <c:v>Brussels (1950)</c:v>
                </c:pt>
                <c:pt idx="2">
                  <c:v>Caracas (1952)</c:v>
                </c:pt>
                <c:pt idx="3">
                  <c:v>Copenhagen (1954)</c:v>
                </c:pt>
                <c:pt idx="4">
                  <c:v>Edinburgh (1956)</c:v>
                </c:pt>
                <c:pt idx="5">
                  <c:v>Athens (1958)</c:v>
                </c:pt>
                <c:pt idx="6">
                  <c:v>Warsaw (1960)</c:v>
                </c:pt>
                <c:pt idx="7">
                  <c:v>Nairobi (1963)</c:v>
                </c:pt>
                <c:pt idx="8">
                  <c:v>Lucerne (1966)</c:v>
                </c:pt>
                <c:pt idx="9">
                  <c:v>New Delhi (1969)</c:v>
                </c:pt>
                <c:pt idx="10">
                  <c:v>Banff (1972)</c:v>
                </c:pt>
                <c:pt idx="11">
                  <c:v>Kinshasa (1975)</c:v>
                </c:pt>
                <c:pt idx="12">
                  <c:v>Geneva (1977)</c:v>
                </c:pt>
                <c:pt idx="13">
                  <c:v>Ashkhabad (1978)</c:v>
                </c:pt>
                <c:pt idx="14">
                  <c:v>Christchurch (1981)</c:v>
                </c:pt>
                <c:pt idx="15">
                  <c:v>Madrid (1984)</c:v>
                </c:pt>
                <c:pt idx="16">
                  <c:v>San José (1988)</c:v>
                </c:pt>
                <c:pt idx="17">
                  <c:v>Perth (1990)</c:v>
                </c:pt>
                <c:pt idx="18">
                  <c:v>Buenos Aires (1994)</c:v>
                </c:pt>
                <c:pt idx="19">
                  <c:v>Montreal (1996)</c:v>
                </c:pt>
                <c:pt idx="20">
                  <c:v>Amman (2000)</c:v>
                </c:pt>
                <c:pt idx="21">
                  <c:v>Bangkok (2004)</c:v>
                </c:pt>
                <c:pt idx="22">
                  <c:v>Barcelona (2008)</c:v>
                </c:pt>
                <c:pt idx="23">
                  <c:v>Jeju (2012)</c:v>
                </c:pt>
              </c:strCache>
            </c:strRef>
          </c:cat>
          <c:val>
            <c:numRef>
              <c:f>Tablas!$C$4:$C$27</c:f>
              <c:numCache>
                <c:formatCode>General</c:formatCode>
                <c:ptCount val="24"/>
                <c:pt idx="0">
                  <c:v>0</c:v>
                </c:pt>
                <c:pt idx="1">
                  <c:v>0</c:v>
                </c:pt>
                <c:pt idx="2">
                  <c:v>1</c:v>
                </c:pt>
                <c:pt idx="3">
                  <c:v>0</c:v>
                </c:pt>
                <c:pt idx="4">
                  <c:v>0</c:v>
                </c:pt>
                <c:pt idx="5">
                  <c:v>2</c:v>
                </c:pt>
                <c:pt idx="6">
                  <c:v>1</c:v>
                </c:pt>
                <c:pt idx="7">
                  <c:v>0</c:v>
                </c:pt>
                <c:pt idx="8">
                  <c:v>0</c:v>
                </c:pt>
                <c:pt idx="9">
                  <c:v>1</c:v>
                </c:pt>
                <c:pt idx="10">
                  <c:v>1</c:v>
                </c:pt>
                <c:pt idx="11">
                  <c:v>0</c:v>
                </c:pt>
                <c:pt idx="12">
                  <c:v>0</c:v>
                </c:pt>
                <c:pt idx="13">
                  <c:v>0</c:v>
                </c:pt>
                <c:pt idx="14">
                  <c:v>5</c:v>
                </c:pt>
                <c:pt idx="15">
                  <c:v>4</c:v>
                </c:pt>
                <c:pt idx="16">
                  <c:v>3</c:v>
                </c:pt>
                <c:pt idx="17">
                  <c:v>0</c:v>
                </c:pt>
                <c:pt idx="18">
                  <c:v>3</c:v>
                </c:pt>
                <c:pt idx="19">
                  <c:v>21</c:v>
                </c:pt>
                <c:pt idx="20">
                  <c:v>4</c:v>
                </c:pt>
                <c:pt idx="21">
                  <c:v>21</c:v>
                </c:pt>
                <c:pt idx="22">
                  <c:v>16</c:v>
                </c:pt>
                <c:pt idx="23">
                  <c:v>62</c:v>
                </c:pt>
              </c:numCache>
            </c:numRef>
          </c:val>
        </c:ser>
        <c:ser>
          <c:idx val="1"/>
          <c:order val="1"/>
          <c:tx>
            <c:strRef>
              <c:f>Tablas!$D$3</c:f>
              <c:strCache>
                <c:ptCount val="1"/>
                <c:pt idx="0">
                  <c:v>Recommendations</c:v>
                </c:pt>
              </c:strCache>
            </c:strRef>
          </c:tx>
          <c:spPr>
            <a:ln w="28575">
              <a:noFill/>
            </a:ln>
          </c:spPr>
          <c:dLbls>
            <c:txPr>
              <a:bodyPr/>
              <a:lstStyle/>
              <a:p>
                <a:pPr>
                  <a:defRPr sz="600"/>
                </a:pPr>
                <a:endParaRPr lang="es-ES"/>
              </a:p>
            </c:txPr>
            <c:dLblPos val="outEnd"/>
            <c:showVal val="1"/>
          </c:dLbls>
          <c:cat>
            <c:strRef>
              <c:f>Tablas!$B$4:$B$27</c:f>
              <c:strCache>
                <c:ptCount val="24"/>
                <c:pt idx="0">
                  <c:v>Fontainebleau (1948)</c:v>
                </c:pt>
                <c:pt idx="1">
                  <c:v>Brussels (1950)</c:v>
                </c:pt>
                <c:pt idx="2">
                  <c:v>Caracas (1952)</c:v>
                </c:pt>
                <c:pt idx="3">
                  <c:v>Copenhagen (1954)</c:v>
                </c:pt>
                <c:pt idx="4">
                  <c:v>Edinburgh (1956)</c:v>
                </c:pt>
                <c:pt idx="5">
                  <c:v>Athens (1958)</c:v>
                </c:pt>
                <c:pt idx="6">
                  <c:v>Warsaw (1960)</c:v>
                </c:pt>
                <c:pt idx="7">
                  <c:v>Nairobi (1963)</c:v>
                </c:pt>
                <c:pt idx="8">
                  <c:v>Lucerne (1966)</c:v>
                </c:pt>
                <c:pt idx="9">
                  <c:v>New Delhi (1969)</c:v>
                </c:pt>
                <c:pt idx="10">
                  <c:v>Banff (1972)</c:v>
                </c:pt>
                <c:pt idx="11">
                  <c:v>Kinshasa (1975)</c:v>
                </c:pt>
                <c:pt idx="12">
                  <c:v>Geneva (1977)</c:v>
                </c:pt>
                <c:pt idx="13">
                  <c:v>Ashkhabad (1978)</c:v>
                </c:pt>
                <c:pt idx="14">
                  <c:v>Christchurch (1981)</c:v>
                </c:pt>
                <c:pt idx="15">
                  <c:v>Madrid (1984)</c:v>
                </c:pt>
                <c:pt idx="16">
                  <c:v>San José (1988)</c:v>
                </c:pt>
                <c:pt idx="17">
                  <c:v>Perth (1990)</c:v>
                </c:pt>
                <c:pt idx="18">
                  <c:v>Buenos Aires (1994)</c:v>
                </c:pt>
                <c:pt idx="19">
                  <c:v>Montreal (1996)</c:v>
                </c:pt>
                <c:pt idx="20">
                  <c:v>Amman (2000)</c:v>
                </c:pt>
                <c:pt idx="21">
                  <c:v>Bangkok (2004)</c:v>
                </c:pt>
                <c:pt idx="22">
                  <c:v>Barcelona (2008)</c:v>
                </c:pt>
                <c:pt idx="23">
                  <c:v>Jeju (2012)</c:v>
                </c:pt>
              </c:strCache>
            </c:strRef>
          </c:cat>
          <c:val>
            <c:numRef>
              <c:f>Tablas!$D$4:$D$27</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c:v>
                </c:pt>
                <c:pt idx="17">
                  <c:v>8</c:v>
                </c:pt>
                <c:pt idx="18">
                  <c:v>4</c:v>
                </c:pt>
                <c:pt idx="19">
                  <c:v>0</c:v>
                </c:pt>
                <c:pt idx="20">
                  <c:v>9</c:v>
                </c:pt>
                <c:pt idx="21">
                  <c:v>11</c:v>
                </c:pt>
                <c:pt idx="22">
                  <c:v>7</c:v>
                </c:pt>
                <c:pt idx="23">
                  <c:v>29</c:v>
                </c:pt>
              </c:numCache>
            </c:numRef>
          </c:val>
        </c:ser>
        <c:ser>
          <c:idx val="2"/>
          <c:order val="2"/>
          <c:tx>
            <c:strRef>
              <c:f>Tablas!$E$3</c:f>
              <c:strCache>
                <c:ptCount val="1"/>
                <c:pt idx="0">
                  <c:v>Total</c:v>
                </c:pt>
              </c:strCache>
            </c:strRef>
          </c:tx>
          <c:spPr>
            <a:ln w="28575">
              <a:noFill/>
            </a:ln>
          </c:spPr>
          <c:dLbls>
            <c:txPr>
              <a:bodyPr/>
              <a:lstStyle/>
              <a:p>
                <a:pPr>
                  <a:defRPr sz="600"/>
                </a:pPr>
                <a:endParaRPr lang="es-ES"/>
              </a:p>
            </c:txPr>
            <c:dLblPos val="outEnd"/>
            <c:showVal val="1"/>
          </c:dLbls>
          <c:cat>
            <c:strRef>
              <c:f>Tablas!$B$4:$B$27</c:f>
              <c:strCache>
                <c:ptCount val="24"/>
                <c:pt idx="0">
                  <c:v>Fontainebleau (1948)</c:v>
                </c:pt>
                <c:pt idx="1">
                  <c:v>Brussels (1950)</c:v>
                </c:pt>
                <c:pt idx="2">
                  <c:v>Caracas (1952)</c:v>
                </c:pt>
                <c:pt idx="3">
                  <c:v>Copenhagen (1954)</c:v>
                </c:pt>
                <c:pt idx="4">
                  <c:v>Edinburgh (1956)</c:v>
                </c:pt>
                <c:pt idx="5">
                  <c:v>Athens (1958)</c:v>
                </c:pt>
                <c:pt idx="6">
                  <c:v>Warsaw (1960)</c:v>
                </c:pt>
                <c:pt idx="7">
                  <c:v>Nairobi (1963)</c:v>
                </c:pt>
                <c:pt idx="8">
                  <c:v>Lucerne (1966)</c:v>
                </c:pt>
                <c:pt idx="9">
                  <c:v>New Delhi (1969)</c:v>
                </c:pt>
                <c:pt idx="10">
                  <c:v>Banff (1972)</c:v>
                </c:pt>
                <c:pt idx="11">
                  <c:v>Kinshasa (1975)</c:v>
                </c:pt>
                <c:pt idx="12">
                  <c:v>Geneva (1977)</c:v>
                </c:pt>
                <c:pt idx="13">
                  <c:v>Ashkhabad (1978)</c:v>
                </c:pt>
                <c:pt idx="14">
                  <c:v>Christchurch (1981)</c:v>
                </c:pt>
                <c:pt idx="15">
                  <c:v>Madrid (1984)</c:v>
                </c:pt>
                <c:pt idx="16">
                  <c:v>San José (1988)</c:v>
                </c:pt>
                <c:pt idx="17">
                  <c:v>Perth (1990)</c:v>
                </c:pt>
                <c:pt idx="18">
                  <c:v>Buenos Aires (1994)</c:v>
                </c:pt>
                <c:pt idx="19">
                  <c:v>Montreal (1996)</c:v>
                </c:pt>
                <c:pt idx="20">
                  <c:v>Amman (2000)</c:v>
                </c:pt>
                <c:pt idx="21">
                  <c:v>Bangkok (2004)</c:v>
                </c:pt>
                <c:pt idx="22">
                  <c:v>Barcelona (2008)</c:v>
                </c:pt>
                <c:pt idx="23">
                  <c:v>Jeju (2012)</c:v>
                </c:pt>
              </c:strCache>
            </c:strRef>
          </c:cat>
          <c:val>
            <c:numRef>
              <c:f>Tablas!$E$4:$E$27</c:f>
              <c:numCache>
                <c:formatCode>General</c:formatCode>
                <c:ptCount val="24"/>
                <c:pt idx="0">
                  <c:v>0</c:v>
                </c:pt>
                <c:pt idx="1">
                  <c:v>0</c:v>
                </c:pt>
                <c:pt idx="2">
                  <c:v>1</c:v>
                </c:pt>
                <c:pt idx="3">
                  <c:v>0</c:v>
                </c:pt>
                <c:pt idx="4">
                  <c:v>0</c:v>
                </c:pt>
                <c:pt idx="5">
                  <c:v>2</c:v>
                </c:pt>
                <c:pt idx="6">
                  <c:v>1</c:v>
                </c:pt>
                <c:pt idx="7">
                  <c:v>0</c:v>
                </c:pt>
                <c:pt idx="8">
                  <c:v>0</c:v>
                </c:pt>
                <c:pt idx="9">
                  <c:v>1</c:v>
                </c:pt>
                <c:pt idx="10">
                  <c:v>1</c:v>
                </c:pt>
                <c:pt idx="11">
                  <c:v>0</c:v>
                </c:pt>
                <c:pt idx="12">
                  <c:v>0</c:v>
                </c:pt>
                <c:pt idx="13">
                  <c:v>0</c:v>
                </c:pt>
                <c:pt idx="14">
                  <c:v>5</c:v>
                </c:pt>
                <c:pt idx="15">
                  <c:v>4</c:v>
                </c:pt>
                <c:pt idx="16">
                  <c:v>4</c:v>
                </c:pt>
                <c:pt idx="17">
                  <c:v>8</c:v>
                </c:pt>
                <c:pt idx="18">
                  <c:v>7</c:v>
                </c:pt>
                <c:pt idx="19">
                  <c:v>21</c:v>
                </c:pt>
                <c:pt idx="20">
                  <c:v>13</c:v>
                </c:pt>
                <c:pt idx="21">
                  <c:v>32</c:v>
                </c:pt>
                <c:pt idx="22">
                  <c:v>23</c:v>
                </c:pt>
                <c:pt idx="23">
                  <c:v>91</c:v>
                </c:pt>
              </c:numCache>
            </c:numRef>
          </c:val>
        </c:ser>
        <c:dLbls>
          <c:showVal val="1"/>
        </c:dLbls>
        <c:axId val="78292096"/>
        <c:axId val="78293632"/>
      </c:barChart>
      <c:catAx>
        <c:axId val="78292096"/>
        <c:scaling>
          <c:orientation val="minMax"/>
        </c:scaling>
        <c:axPos val="b"/>
        <c:majorGridlines/>
        <c:numFmt formatCode="General" sourceLinked="1"/>
        <c:tickLblPos val="nextTo"/>
        <c:crossAx val="78293632"/>
        <c:crosses val="autoZero"/>
        <c:auto val="1"/>
        <c:lblAlgn val="ctr"/>
        <c:lblOffset val="100"/>
      </c:catAx>
      <c:valAx>
        <c:axId val="78293632"/>
        <c:scaling>
          <c:orientation val="minMax"/>
        </c:scaling>
        <c:axPos val="l"/>
        <c:numFmt formatCode="General" sourceLinked="1"/>
        <c:tickLblPos val="nextTo"/>
        <c:crossAx val="78292096"/>
        <c:crosses val="autoZero"/>
        <c:crossBetween val="between"/>
      </c:valAx>
    </c:plotArea>
    <c:legend>
      <c:legendPos val="b"/>
      <c:txPr>
        <a:bodyPr/>
        <a:lstStyle/>
        <a:p>
          <a:pPr rtl="0">
            <a:defRPr/>
          </a:pPr>
          <a:endParaRPr lang="es-ES"/>
        </a:p>
      </c:txP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B1EA7-1112-4E0C-9B01-090457ED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3266</Words>
  <Characters>17969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Sobaler</dc:creator>
  <cp:lastModifiedBy>brad</cp:lastModifiedBy>
  <cp:revision>3</cp:revision>
  <dcterms:created xsi:type="dcterms:W3CDTF">2014-09-29T09:47:00Z</dcterms:created>
  <dcterms:modified xsi:type="dcterms:W3CDTF">2014-09-29T09:54:00Z</dcterms:modified>
</cp:coreProperties>
</file>